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A968A5">
      <w:pPr>
        <w:jc w:val="center"/>
        <w:rPr>
          <w:rFonts w:hint="eastAsia" w:ascii="宋体" w:hAnsi="宋体" w:cs="宋体"/>
          <w:b/>
          <w:sz w:val="100"/>
          <w:szCs w:val="100"/>
        </w:rPr>
      </w:pPr>
    </w:p>
    <w:p w14:paraId="43607D93">
      <w:pPr>
        <w:jc w:val="center"/>
        <w:rPr>
          <w:rFonts w:hint="eastAsia" w:ascii="宋体" w:hAnsi="宋体" w:cs="宋体"/>
          <w:b/>
          <w:sz w:val="100"/>
          <w:szCs w:val="100"/>
        </w:rPr>
      </w:pPr>
      <w:r>
        <w:rPr>
          <w:rFonts w:hint="eastAsia" w:ascii="宋体" w:hAnsi="宋体" w:cs="宋体"/>
          <w:b/>
          <w:sz w:val="100"/>
          <w:szCs w:val="100"/>
        </w:rPr>
        <w:t>分散采购磋商文件</w:t>
      </w:r>
    </w:p>
    <w:p w14:paraId="6F05CBE1">
      <w:pPr>
        <w:keepNext/>
        <w:spacing w:line="500" w:lineRule="exact"/>
        <w:jc w:val="center"/>
        <w:outlineLvl w:val="5"/>
        <w:rPr>
          <w:rFonts w:hint="eastAsia" w:ascii="宋体" w:hAnsi="宋体" w:cs="宋体"/>
          <w:b/>
          <w:sz w:val="44"/>
          <w:szCs w:val="20"/>
        </w:rPr>
      </w:pPr>
    </w:p>
    <w:p w14:paraId="4ED9FB9C">
      <w:pPr>
        <w:pStyle w:val="205"/>
        <w:rPr>
          <w:rFonts w:hint="eastAsia" w:ascii="宋体" w:hAnsi="宋体" w:cs="宋体"/>
          <w:b/>
          <w:sz w:val="44"/>
        </w:rPr>
      </w:pPr>
    </w:p>
    <w:p w14:paraId="7405E23F">
      <w:pPr>
        <w:rPr>
          <w:rFonts w:hint="eastAsia" w:ascii="宋体" w:hAnsi="宋体" w:cs="宋体"/>
        </w:rPr>
      </w:pPr>
    </w:p>
    <w:p w14:paraId="239EBF4F">
      <w:pPr>
        <w:keepNext/>
        <w:spacing w:line="1000" w:lineRule="exact"/>
        <w:jc w:val="center"/>
        <w:rPr>
          <w:rFonts w:hint="eastAsia" w:ascii="宋体" w:hAnsi="宋体" w:cs="宋体"/>
          <w:b/>
          <w:sz w:val="36"/>
          <w:szCs w:val="36"/>
          <w:highlight w:val="yellow"/>
        </w:rPr>
      </w:pPr>
      <w:r>
        <w:rPr>
          <w:rFonts w:hint="eastAsia" w:ascii="宋体" w:hAnsi="宋体" w:cs="宋体"/>
          <w:b/>
          <w:sz w:val="36"/>
          <w:szCs w:val="36"/>
        </w:rPr>
        <w:t>项目名称：2026年度启东市汇龙镇长江汇龙段江堤巡防保安服务项目</w:t>
      </w:r>
    </w:p>
    <w:p w14:paraId="558D1AA5">
      <w:pPr>
        <w:spacing w:line="500" w:lineRule="exact"/>
        <w:jc w:val="center"/>
        <w:rPr>
          <w:rFonts w:hint="eastAsia" w:ascii="宋体" w:hAnsi="宋体" w:cs="宋体"/>
          <w:b/>
          <w:sz w:val="36"/>
        </w:rPr>
      </w:pPr>
    </w:p>
    <w:p w14:paraId="333A9358">
      <w:pPr>
        <w:pStyle w:val="205"/>
        <w:rPr>
          <w:rFonts w:hint="eastAsia" w:ascii="宋体" w:hAnsi="宋体" w:cs="宋体"/>
        </w:rPr>
      </w:pPr>
    </w:p>
    <w:p w14:paraId="237D8501">
      <w:pPr>
        <w:pStyle w:val="205"/>
        <w:rPr>
          <w:rFonts w:hint="eastAsia" w:ascii="宋体" w:hAnsi="宋体" w:cs="宋体"/>
        </w:rPr>
      </w:pPr>
    </w:p>
    <w:p w14:paraId="5078F29C">
      <w:pPr>
        <w:spacing w:line="500" w:lineRule="exact"/>
        <w:jc w:val="center"/>
        <w:rPr>
          <w:rFonts w:hint="eastAsia" w:ascii="宋体" w:hAnsi="宋体" w:cs="宋体"/>
          <w:b/>
          <w:sz w:val="36"/>
        </w:rPr>
      </w:pPr>
    </w:p>
    <w:p w14:paraId="00E8F9A8">
      <w:pPr>
        <w:spacing w:line="500" w:lineRule="exact"/>
        <w:rPr>
          <w:rFonts w:hint="eastAsia" w:ascii="宋体" w:hAnsi="宋体" w:cs="宋体"/>
        </w:rPr>
      </w:pPr>
    </w:p>
    <w:p w14:paraId="271A2134">
      <w:pPr>
        <w:spacing w:line="500" w:lineRule="exact"/>
        <w:rPr>
          <w:rFonts w:hint="eastAsia" w:ascii="宋体" w:hAnsi="宋体" w:cs="宋体"/>
        </w:rPr>
      </w:pPr>
    </w:p>
    <w:p w14:paraId="595749A4">
      <w:pPr>
        <w:spacing w:line="500" w:lineRule="exact"/>
        <w:rPr>
          <w:rFonts w:hint="eastAsia" w:ascii="宋体" w:hAnsi="宋体" w:cs="宋体"/>
          <w:sz w:val="32"/>
        </w:rPr>
      </w:pPr>
    </w:p>
    <w:p w14:paraId="31945B6D">
      <w:pPr>
        <w:pStyle w:val="16"/>
        <w:rPr>
          <w:rFonts w:hint="eastAsia"/>
        </w:rPr>
      </w:pPr>
    </w:p>
    <w:p w14:paraId="7CD84926">
      <w:pPr>
        <w:rPr>
          <w:rFonts w:hint="eastAsia" w:ascii="宋体" w:hAnsi="宋体" w:cs="宋体"/>
        </w:rPr>
      </w:pPr>
    </w:p>
    <w:p w14:paraId="3D8F118C">
      <w:pPr>
        <w:spacing w:before="120" w:after="120" w:line="500" w:lineRule="exact"/>
        <w:ind w:left="-2" w:right="120"/>
        <w:jc w:val="center"/>
        <w:rPr>
          <w:rFonts w:hint="default" w:ascii="宋体" w:hAnsi="宋体" w:eastAsia="宋体" w:cs="宋体"/>
          <w:b/>
          <w:spacing w:val="20"/>
          <w:sz w:val="36"/>
          <w:szCs w:val="36"/>
          <w:lang w:val="en-US" w:eastAsia="zh-CN"/>
        </w:rPr>
      </w:pPr>
      <w:r>
        <w:rPr>
          <w:rFonts w:hint="eastAsia" w:ascii="宋体" w:hAnsi="宋体" w:cs="宋体"/>
          <w:b/>
          <w:spacing w:val="20"/>
          <w:sz w:val="36"/>
          <w:szCs w:val="36"/>
          <w:lang w:val="zh-CN"/>
        </w:rPr>
        <w:t>启东市</w:t>
      </w:r>
      <w:r>
        <w:rPr>
          <w:rFonts w:hint="eastAsia" w:ascii="宋体" w:hAnsi="宋体" w:cs="宋体"/>
          <w:b/>
          <w:spacing w:val="20"/>
          <w:sz w:val="36"/>
          <w:szCs w:val="36"/>
          <w:lang w:val="en-US" w:eastAsia="zh-CN"/>
        </w:rPr>
        <w:t>汇龙镇人民政府</w:t>
      </w:r>
    </w:p>
    <w:p w14:paraId="1621E94A">
      <w:pPr>
        <w:spacing w:before="120" w:after="120" w:line="500" w:lineRule="exact"/>
        <w:ind w:left="-2" w:right="120"/>
        <w:jc w:val="center"/>
        <w:rPr>
          <w:rFonts w:hint="eastAsia" w:ascii="宋体" w:hAnsi="宋体" w:cs="宋体"/>
          <w:b/>
          <w:bCs/>
          <w:sz w:val="32"/>
          <w:highlight w:val="yellow"/>
        </w:rPr>
      </w:pPr>
      <w:r>
        <w:rPr>
          <w:rFonts w:hint="eastAsia" w:ascii="宋体" w:hAnsi="宋体" w:cs="宋体"/>
          <w:b/>
          <w:bCs/>
          <w:sz w:val="32"/>
          <w:u w:val="single"/>
        </w:rPr>
        <w:t>202</w:t>
      </w:r>
      <w:r>
        <w:rPr>
          <w:rFonts w:hint="eastAsia" w:ascii="宋体" w:hAnsi="宋体" w:cs="宋体"/>
          <w:b/>
          <w:bCs/>
          <w:sz w:val="32"/>
          <w:u w:val="single"/>
          <w:lang w:val="en-US" w:eastAsia="zh-CN"/>
        </w:rPr>
        <w:t>6</w:t>
      </w:r>
      <w:r>
        <w:rPr>
          <w:rFonts w:hint="eastAsia" w:ascii="宋体" w:hAnsi="宋体" w:cs="宋体"/>
          <w:b/>
          <w:bCs/>
          <w:sz w:val="32"/>
        </w:rPr>
        <w:t>年</w:t>
      </w:r>
      <w:r>
        <w:rPr>
          <w:rFonts w:hint="eastAsia" w:ascii="宋体" w:hAnsi="宋体" w:cs="宋体"/>
          <w:b/>
          <w:bCs/>
          <w:sz w:val="32"/>
          <w:u w:val="single"/>
        </w:rPr>
        <w:t xml:space="preserve">  </w:t>
      </w:r>
      <w:r>
        <w:rPr>
          <w:rFonts w:hint="eastAsia" w:ascii="宋体" w:hAnsi="宋体" w:cs="宋体"/>
          <w:b/>
          <w:bCs/>
          <w:sz w:val="32"/>
          <w:u w:val="single"/>
          <w:lang w:val="en-US" w:eastAsia="zh-CN"/>
        </w:rPr>
        <w:t>3</w:t>
      </w:r>
      <w:r>
        <w:rPr>
          <w:rFonts w:hint="eastAsia" w:ascii="宋体" w:hAnsi="宋体" w:cs="宋体"/>
          <w:b/>
          <w:bCs/>
          <w:sz w:val="32"/>
          <w:u w:val="single"/>
        </w:rPr>
        <w:t xml:space="preserve">  </w:t>
      </w:r>
      <w:r>
        <w:rPr>
          <w:rFonts w:hint="eastAsia" w:ascii="宋体" w:hAnsi="宋体" w:cs="宋体"/>
          <w:b/>
          <w:bCs/>
          <w:sz w:val="32"/>
        </w:rPr>
        <w:t>月</w:t>
      </w:r>
      <w:r>
        <w:rPr>
          <w:rFonts w:hint="eastAsia" w:ascii="宋体" w:hAnsi="宋体" w:cs="宋体"/>
          <w:b/>
          <w:bCs/>
          <w:sz w:val="32"/>
          <w:u w:val="single"/>
        </w:rPr>
        <w:t xml:space="preserve">  </w:t>
      </w:r>
      <w:r>
        <w:rPr>
          <w:rFonts w:hint="eastAsia" w:ascii="宋体" w:hAnsi="宋体" w:cs="宋体"/>
          <w:b/>
          <w:bCs/>
          <w:sz w:val="32"/>
          <w:u w:val="single"/>
          <w:lang w:val="en-US" w:eastAsia="zh-CN"/>
        </w:rPr>
        <w:t>16</w:t>
      </w:r>
      <w:r>
        <w:rPr>
          <w:rFonts w:hint="eastAsia" w:ascii="宋体" w:hAnsi="宋体" w:cs="宋体"/>
          <w:b/>
          <w:bCs/>
          <w:sz w:val="32"/>
          <w:u w:val="single"/>
        </w:rPr>
        <w:t xml:space="preserve">  </w:t>
      </w:r>
      <w:r>
        <w:rPr>
          <w:rFonts w:hint="eastAsia" w:ascii="宋体" w:hAnsi="宋体" w:cs="宋体"/>
          <w:b/>
          <w:bCs/>
          <w:sz w:val="32"/>
        </w:rPr>
        <w:t>日</w:t>
      </w:r>
    </w:p>
    <w:p w14:paraId="17D6393E">
      <w:pPr>
        <w:pStyle w:val="205"/>
        <w:rPr>
          <w:rFonts w:hint="eastAsia" w:ascii="宋体" w:hAnsi="宋体" w:cs="宋体"/>
          <w:highlight w:val="yellow"/>
        </w:rPr>
      </w:pPr>
    </w:p>
    <w:p w14:paraId="67FEC304">
      <w:pPr>
        <w:spacing w:line="500" w:lineRule="exact"/>
        <w:ind w:left="-158"/>
        <w:rPr>
          <w:rFonts w:hint="eastAsia" w:ascii="宋体" w:hAnsi="宋体" w:cs="宋体"/>
          <w:b/>
          <w:sz w:val="26"/>
          <w:szCs w:val="28"/>
          <w:u w:val="single"/>
        </w:rPr>
      </w:pPr>
      <w:r>
        <w:rPr>
          <w:rFonts w:hint="eastAsia" w:ascii="宋体" w:hAnsi="宋体" w:cs="宋体"/>
          <w:b/>
          <w:sz w:val="26"/>
          <w:szCs w:val="28"/>
          <w:u w:val="single"/>
        </w:rPr>
        <w:t xml:space="preserve">                                                                    </w:t>
      </w:r>
    </w:p>
    <w:p w14:paraId="6D14A957">
      <w:pPr>
        <w:ind w:left="-158"/>
        <w:jc w:val="left"/>
        <w:rPr>
          <w:rFonts w:hint="eastAsia" w:ascii="宋体" w:hAnsi="宋体" w:cs="宋体"/>
          <w:sz w:val="28"/>
          <w:szCs w:val="28"/>
        </w:rPr>
      </w:pPr>
      <w:r>
        <w:rPr>
          <w:rFonts w:hint="eastAsia" w:ascii="宋体" w:hAnsi="宋体" w:cs="宋体"/>
          <w:b/>
          <w:sz w:val="28"/>
          <w:szCs w:val="28"/>
        </w:rPr>
        <w:t>地址:</w:t>
      </w:r>
      <w:r>
        <w:rPr>
          <w:rFonts w:hint="eastAsia" w:ascii="宋体" w:hAnsi="宋体" w:cs="宋体"/>
          <w:sz w:val="28"/>
          <w:szCs w:val="28"/>
        </w:rPr>
        <w:t xml:space="preserve"> </w:t>
      </w:r>
      <w:r>
        <w:rPr>
          <w:rFonts w:hint="eastAsia" w:ascii="宋体" w:hAnsi="宋体" w:cs="宋体"/>
          <w:b/>
          <w:sz w:val="28"/>
          <w:szCs w:val="28"/>
        </w:rPr>
        <w:t>启东市</w:t>
      </w:r>
      <w:r>
        <w:rPr>
          <w:rFonts w:hint="eastAsia" w:ascii="宋体" w:hAnsi="宋体" w:cs="宋体"/>
          <w:b/>
          <w:sz w:val="28"/>
          <w:szCs w:val="28"/>
          <w:lang w:val="en-US" w:eastAsia="zh-CN"/>
        </w:rPr>
        <w:t>汇龙中路288号</w:t>
      </w:r>
      <w:r>
        <w:rPr>
          <w:rFonts w:hint="eastAsia" w:ascii="宋体" w:hAnsi="宋体" w:cs="宋体"/>
          <w:b/>
          <w:sz w:val="28"/>
          <w:szCs w:val="28"/>
        </w:rPr>
        <w:t xml:space="preserve"> </w:t>
      </w:r>
      <w:r>
        <w:rPr>
          <w:rFonts w:hint="eastAsia" w:ascii="宋体" w:hAnsi="宋体" w:cs="宋体"/>
          <w:sz w:val="28"/>
          <w:szCs w:val="28"/>
        </w:rPr>
        <w:t xml:space="preserve">               </w:t>
      </w:r>
      <w:r>
        <w:rPr>
          <w:rFonts w:hint="eastAsia" w:ascii="宋体" w:hAnsi="宋体" w:cs="宋体"/>
          <w:b/>
          <w:sz w:val="28"/>
          <w:szCs w:val="28"/>
        </w:rPr>
        <w:t>邮政编码：</w:t>
      </w:r>
      <w:r>
        <w:rPr>
          <w:rFonts w:hint="eastAsia" w:ascii="宋体" w:hAnsi="宋体" w:cs="宋体"/>
          <w:sz w:val="28"/>
          <w:szCs w:val="28"/>
        </w:rPr>
        <w:t xml:space="preserve">226200        </w:t>
      </w:r>
    </w:p>
    <w:p w14:paraId="646F7587">
      <w:pPr>
        <w:ind w:left="-158" w:right="-601"/>
        <w:rPr>
          <w:rFonts w:hint="eastAsia" w:ascii="宋体" w:hAnsi="宋体" w:cs="宋体"/>
          <w:sz w:val="28"/>
          <w:szCs w:val="28"/>
        </w:rPr>
      </w:pPr>
      <w:r>
        <w:rPr>
          <w:rFonts w:hint="eastAsia" w:ascii="宋体" w:hAnsi="宋体" w:cs="宋体"/>
          <w:b/>
          <w:sz w:val="28"/>
          <w:szCs w:val="28"/>
          <w:lang w:val="en-US" w:eastAsia="zh-CN"/>
        </w:rPr>
        <w:t>启东市人民政府</w:t>
      </w:r>
      <w:r>
        <w:rPr>
          <w:rFonts w:hint="eastAsia" w:ascii="宋体" w:hAnsi="宋体" w:cs="宋体"/>
          <w:b/>
          <w:sz w:val="28"/>
          <w:szCs w:val="28"/>
        </w:rPr>
        <w:t>网</w:t>
      </w:r>
    </w:p>
    <w:p w14:paraId="0BD84029">
      <w:pPr>
        <w:spacing w:line="360" w:lineRule="auto"/>
        <w:jc w:val="center"/>
        <w:rPr>
          <w:rFonts w:hint="eastAsia" w:ascii="宋体" w:hAnsi="宋体" w:cs="宋体"/>
          <w:sz w:val="44"/>
          <w:szCs w:val="44"/>
          <w:lang w:val="zh-CN"/>
        </w:rPr>
      </w:pPr>
    </w:p>
    <w:p w14:paraId="40D2A29E">
      <w:pPr>
        <w:spacing w:line="360" w:lineRule="auto"/>
        <w:jc w:val="center"/>
        <w:rPr>
          <w:rFonts w:hint="eastAsia" w:ascii="宋体" w:hAnsi="宋体" w:cs="宋体"/>
          <w:sz w:val="44"/>
          <w:szCs w:val="44"/>
          <w:lang w:val="zh-CN"/>
        </w:rPr>
      </w:pPr>
      <w:r>
        <w:rPr>
          <w:rFonts w:hint="eastAsia" w:ascii="宋体" w:hAnsi="宋体" w:cs="宋体"/>
          <w:sz w:val="44"/>
          <w:szCs w:val="44"/>
          <w:lang w:val="zh-CN"/>
        </w:rPr>
        <w:t>目 录</w:t>
      </w:r>
    </w:p>
    <w:p w14:paraId="7B178D09">
      <w:pPr>
        <w:spacing w:line="360" w:lineRule="auto"/>
        <w:ind w:firstLine="556"/>
        <w:rPr>
          <w:rFonts w:hint="eastAsia" w:ascii="宋体" w:hAnsi="宋体" w:cs="宋体"/>
          <w:sz w:val="32"/>
          <w:szCs w:val="32"/>
        </w:rPr>
      </w:pPr>
    </w:p>
    <w:p w14:paraId="2B26511D">
      <w:pPr>
        <w:spacing w:line="360" w:lineRule="auto"/>
        <w:ind w:firstLine="556"/>
        <w:rPr>
          <w:rFonts w:hint="eastAsia" w:ascii="宋体" w:hAnsi="宋体" w:cs="宋体"/>
          <w:sz w:val="32"/>
          <w:szCs w:val="32"/>
        </w:rPr>
      </w:pPr>
    </w:p>
    <w:p w14:paraId="15C95239">
      <w:pPr>
        <w:spacing w:line="480" w:lineRule="auto"/>
        <w:ind w:firstLine="556"/>
        <w:rPr>
          <w:rFonts w:hint="eastAsia" w:ascii="宋体" w:hAnsi="宋体" w:cs="宋体"/>
          <w:sz w:val="32"/>
          <w:szCs w:val="32"/>
        </w:rPr>
      </w:pPr>
      <w:r>
        <w:rPr>
          <w:rFonts w:hint="eastAsia" w:ascii="宋体" w:hAnsi="宋体" w:cs="宋体"/>
          <w:sz w:val="32"/>
          <w:szCs w:val="32"/>
        </w:rPr>
        <w:t>第一部分  竞争性磋商公告</w:t>
      </w:r>
    </w:p>
    <w:p w14:paraId="7A8D9953">
      <w:pPr>
        <w:spacing w:line="480" w:lineRule="auto"/>
        <w:ind w:firstLine="556"/>
        <w:rPr>
          <w:rFonts w:hint="eastAsia" w:ascii="宋体" w:hAnsi="宋体" w:cs="宋体"/>
          <w:sz w:val="32"/>
          <w:szCs w:val="32"/>
        </w:rPr>
      </w:pPr>
      <w:r>
        <w:rPr>
          <w:rFonts w:hint="eastAsia" w:ascii="宋体" w:hAnsi="宋体" w:cs="宋体"/>
          <w:sz w:val="32"/>
          <w:szCs w:val="32"/>
        </w:rPr>
        <w:t>第二部分  磋商须知</w:t>
      </w:r>
    </w:p>
    <w:p w14:paraId="4C7729F3">
      <w:pPr>
        <w:spacing w:line="480" w:lineRule="auto"/>
        <w:ind w:firstLine="537"/>
        <w:rPr>
          <w:rFonts w:hint="eastAsia" w:ascii="宋体" w:hAnsi="宋体" w:cs="宋体"/>
          <w:sz w:val="32"/>
          <w:szCs w:val="32"/>
        </w:rPr>
      </w:pPr>
      <w:r>
        <w:rPr>
          <w:rFonts w:hint="eastAsia" w:ascii="宋体" w:hAnsi="宋体" w:cs="宋体"/>
          <w:sz w:val="32"/>
          <w:szCs w:val="32"/>
        </w:rPr>
        <w:t>第三部分  项目需求</w:t>
      </w:r>
    </w:p>
    <w:p w14:paraId="457A81A3">
      <w:pPr>
        <w:spacing w:line="480" w:lineRule="auto"/>
        <w:ind w:firstLine="537"/>
        <w:rPr>
          <w:rFonts w:hint="eastAsia" w:ascii="宋体" w:hAnsi="宋体" w:cs="宋体"/>
          <w:sz w:val="32"/>
          <w:szCs w:val="32"/>
        </w:rPr>
      </w:pPr>
      <w:r>
        <w:rPr>
          <w:rFonts w:hint="eastAsia" w:ascii="宋体" w:hAnsi="宋体" w:cs="宋体"/>
          <w:sz w:val="32"/>
          <w:szCs w:val="32"/>
        </w:rPr>
        <w:t>第四部分  评审方法和评审标准</w:t>
      </w:r>
    </w:p>
    <w:p w14:paraId="22C3B456">
      <w:pPr>
        <w:spacing w:line="480" w:lineRule="auto"/>
        <w:ind w:firstLine="556"/>
        <w:rPr>
          <w:rFonts w:hint="eastAsia" w:ascii="宋体" w:hAnsi="宋体" w:cs="宋体"/>
          <w:sz w:val="32"/>
          <w:szCs w:val="32"/>
        </w:rPr>
      </w:pPr>
      <w:r>
        <w:rPr>
          <w:rFonts w:hint="eastAsia" w:ascii="宋体" w:hAnsi="宋体" w:cs="宋体"/>
          <w:sz w:val="32"/>
          <w:szCs w:val="32"/>
        </w:rPr>
        <w:t>第五部分  响应文件组成</w:t>
      </w:r>
    </w:p>
    <w:p w14:paraId="6DE67A18">
      <w:pPr>
        <w:tabs>
          <w:tab w:val="left" w:pos="7740"/>
        </w:tabs>
        <w:spacing w:line="500" w:lineRule="exact"/>
        <w:rPr>
          <w:rFonts w:hint="eastAsia" w:ascii="宋体" w:hAnsi="宋体" w:cs="宋体"/>
          <w:bCs/>
          <w:sz w:val="32"/>
          <w:szCs w:val="32"/>
        </w:rPr>
      </w:pPr>
    </w:p>
    <w:p w14:paraId="24D60621">
      <w:pPr>
        <w:tabs>
          <w:tab w:val="left" w:pos="7740"/>
        </w:tabs>
        <w:spacing w:line="500" w:lineRule="exact"/>
        <w:rPr>
          <w:rFonts w:hint="eastAsia" w:ascii="宋体" w:hAnsi="宋体" w:cs="宋体"/>
          <w:bCs/>
          <w:sz w:val="32"/>
          <w:szCs w:val="32"/>
        </w:rPr>
      </w:pPr>
    </w:p>
    <w:p w14:paraId="46EF5BA7">
      <w:pPr>
        <w:spacing w:line="500" w:lineRule="exact"/>
        <w:jc w:val="center"/>
        <w:rPr>
          <w:rFonts w:hint="eastAsia" w:ascii="宋体" w:hAnsi="宋体" w:cs="宋体"/>
          <w:b/>
          <w:bCs/>
          <w:sz w:val="36"/>
          <w:szCs w:val="36"/>
          <w:lang w:val="zh-CN"/>
        </w:rPr>
      </w:pPr>
    </w:p>
    <w:p w14:paraId="781D088D">
      <w:pPr>
        <w:spacing w:line="500" w:lineRule="exact"/>
        <w:rPr>
          <w:rFonts w:hint="eastAsia" w:ascii="宋体" w:hAnsi="宋体" w:cs="宋体"/>
          <w:b/>
          <w:bCs/>
          <w:sz w:val="36"/>
          <w:szCs w:val="36"/>
          <w:lang w:val="zh-CN"/>
        </w:rPr>
      </w:pPr>
    </w:p>
    <w:p w14:paraId="58E29D84">
      <w:pPr>
        <w:spacing w:line="500" w:lineRule="exact"/>
        <w:jc w:val="center"/>
        <w:rPr>
          <w:rFonts w:hint="eastAsia" w:ascii="宋体" w:hAnsi="宋体" w:cs="宋体"/>
          <w:b/>
          <w:bCs/>
          <w:sz w:val="36"/>
          <w:szCs w:val="36"/>
          <w:lang w:val="zh-CN"/>
        </w:rPr>
      </w:pPr>
    </w:p>
    <w:p w14:paraId="75A011D2">
      <w:pPr>
        <w:spacing w:line="500" w:lineRule="exact"/>
        <w:jc w:val="center"/>
        <w:rPr>
          <w:rFonts w:hint="eastAsia" w:ascii="宋体" w:hAnsi="宋体" w:cs="宋体"/>
          <w:b/>
          <w:bCs/>
          <w:sz w:val="36"/>
          <w:szCs w:val="36"/>
          <w:lang w:val="zh-CN"/>
        </w:rPr>
      </w:pPr>
    </w:p>
    <w:p w14:paraId="2DBBD4C1">
      <w:pPr>
        <w:spacing w:line="500" w:lineRule="exact"/>
        <w:jc w:val="center"/>
        <w:rPr>
          <w:rFonts w:hint="eastAsia" w:ascii="宋体" w:hAnsi="宋体" w:cs="宋体"/>
          <w:b/>
          <w:bCs/>
          <w:sz w:val="36"/>
          <w:szCs w:val="36"/>
          <w:lang w:val="zh-CN"/>
        </w:rPr>
      </w:pPr>
    </w:p>
    <w:p w14:paraId="01F9CB0F">
      <w:pPr>
        <w:spacing w:line="500" w:lineRule="exact"/>
        <w:jc w:val="center"/>
        <w:rPr>
          <w:rFonts w:hint="eastAsia" w:ascii="宋体" w:hAnsi="宋体" w:cs="宋体"/>
          <w:b/>
          <w:bCs/>
          <w:sz w:val="36"/>
          <w:szCs w:val="36"/>
          <w:lang w:val="zh-CN"/>
        </w:rPr>
      </w:pPr>
    </w:p>
    <w:p w14:paraId="787E4286">
      <w:pPr>
        <w:spacing w:line="500" w:lineRule="exact"/>
        <w:jc w:val="center"/>
        <w:rPr>
          <w:rFonts w:hint="eastAsia" w:ascii="宋体" w:hAnsi="宋体" w:cs="宋体"/>
          <w:b/>
          <w:bCs/>
          <w:sz w:val="36"/>
          <w:szCs w:val="36"/>
          <w:lang w:val="zh-CN"/>
        </w:rPr>
      </w:pPr>
    </w:p>
    <w:p w14:paraId="2418767B">
      <w:pPr>
        <w:spacing w:line="500" w:lineRule="exact"/>
        <w:jc w:val="center"/>
        <w:rPr>
          <w:rFonts w:hint="eastAsia" w:ascii="宋体" w:hAnsi="宋体" w:cs="宋体"/>
          <w:b/>
          <w:bCs/>
          <w:sz w:val="36"/>
          <w:szCs w:val="36"/>
          <w:lang w:val="zh-CN"/>
        </w:rPr>
      </w:pPr>
    </w:p>
    <w:p w14:paraId="3358FEEE">
      <w:pPr>
        <w:spacing w:line="500" w:lineRule="exact"/>
        <w:jc w:val="center"/>
        <w:rPr>
          <w:rFonts w:hint="eastAsia" w:ascii="宋体" w:hAnsi="宋体" w:cs="宋体"/>
          <w:b/>
          <w:bCs/>
          <w:sz w:val="36"/>
          <w:szCs w:val="36"/>
          <w:lang w:val="zh-CN"/>
        </w:rPr>
      </w:pPr>
    </w:p>
    <w:p w14:paraId="029C3882">
      <w:pPr>
        <w:spacing w:line="500" w:lineRule="exact"/>
        <w:outlineLvl w:val="0"/>
        <w:rPr>
          <w:rFonts w:hint="eastAsia" w:ascii="宋体" w:hAnsi="宋体" w:cs="宋体"/>
          <w:sz w:val="36"/>
          <w:szCs w:val="36"/>
          <w:lang w:val="zh-CN"/>
        </w:rPr>
        <w:sectPr>
          <w:headerReference r:id="rId3" w:type="default"/>
          <w:headerReference r:id="rId4" w:type="even"/>
          <w:pgSz w:w="11907" w:h="16839"/>
          <w:pgMar w:top="1440" w:right="1800" w:bottom="1440" w:left="1800" w:header="720" w:footer="737" w:gutter="0"/>
          <w:pgNumType w:start="45"/>
          <w:cols w:space="720" w:num="1"/>
          <w:docGrid w:linePitch="360" w:charSpace="0"/>
        </w:sectPr>
      </w:pPr>
    </w:p>
    <w:p w14:paraId="5C4351C2">
      <w:pPr>
        <w:spacing w:line="500" w:lineRule="exact"/>
        <w:jc w:val="center"/>
        <w:outlineLvl w:val="0"/>
        <w:rPr>
          <w:rFonts w:hint="eastAsia" w:ascii="宋体" w:hAnsi="宋体" w:cs="宋体"/>
          <w:sz w:val="36"/>
          <w:szCs w:val="36"/>
        </w:rPr>
      </w:pPr>
      <w:r>
        <w:rPr>
          <w:rFonts w:hint="eastAsia" w:ascii="宋体" w:hAnsi="宋体" w:cs="宋体"/>
          <w:sz w:val="36"/>
          <w:szCs w:val="36"/>
          <w:lang w:val="zh-CN"/>
        </w:rPr>
        <w:t>第一部分  竞争性磋商公告</w:t>
      </w:r>
    </w:p>
    <w:p w14:paraId="4001E6D8">
      <w:pPr>
        <w:spacing w:line="500" w:lineRule="exact"/>
        <w:ind w:firstLine="560"/>
        <w:rPr>
          <w:rFonts w:hint="eastAsia" w:ascii="宋体" w:hAnsi="宋体" w:cs="宋体"/>
          <w:sz w:val="28"/>
          <w:szCs w:val="28"/>
        </w:rPr>
      </w:pPr>
      <w:r>
        <w:rPr>
          <w:rFonts w:hint="eastAsia" w:ascii="宋体" w:hAnsi="宋体" w:cs="宋体"/>
          <w:sz w:val="28"/>
          <w:szCs w:val="28"/>
        </w:rPr>
        <w:t>受[启东市汇龙镇人民政府]的委托，就[2026年度启东市汇龙镇长江汇龙段江堤巡防保安服务项目]进行竞争性磋商采购，欢迎符合条件的供应商参加磋商。</w:t>
      </w:r>
    </w:p>
    <w:p w14:paraId="5CEC02BF">
      <w:pPr>
        <w:widowControl/>
        <w:shd w:val="clear" w:color="auto" w:fill="FFFFFF"/>
        <w:spacing w:line="500" w:lineRule="exact"/>
        <w:ind w:firstLine="505"/>
        <w:rPr>
          <w:rFonts w:hint="eastAsia" w:ascii="宋体" w:hAnsi="宋体" w:cs="宋体"/>
          <w:b/>
          <w:spacing w:val="7"/>
          <w:sz w:val="28"/>
          <w:szCs w:val="28"/>
        </w:rPr>
      </w:pPr>
      <w:r>
        <w:rPr>
          <w:rFonts w:hint="eastAsia" w:ascii="宋体" w:hAnsi="宋体" w:cs="宋体"/>
          <w:b/>
          <w:spacing w:val="7"/>
          <w:sz w:val="28"/>
          <w:szCs w:val="28"/>
        </w:rPr>
        <w:t>项目概况</w:t>
      </w:r>
    </w:p>
    <w:p w14:paraId="0CFFEFCC">
      <w:pPr>
        <w:pBdr>
          <w:top w:val="single" w:color="000000" w:sz="4" w:space="1"/>
          <w:left w:val="single" w:color="000000" w:sz="4" w:space="1"/>
          <w:bottom w:val="single" w:color="000000" w:sz="4" w:space="1"/>
          <w:right w:val="single" w:color="000000" w:sz="4" w:space="4"/>
        </w:pBdr>
        <w:spacing w:line="500" w:lineRule="exact"/>
        <w:ind w:firstLine="560"/>
        <w:rPr>
          <w:rFonts w:hint="eastAsia" w:ascii="宋体" w:hAnsi="宋体" w:cs="宋体"/>
          <w:b/>
          <w:spacing w:val="7"/>
          <w:sz w:val="28"/>
          <w:szCs w:val="28"/>
        </w:rPr>
      </w:pPr>
      <w:r>
        <w:rPr>
          <w:rFonts w:hint="eastAsia" w:ascii="宋体" w:hAnsi="宋体" w:cs="宋体"/>
          <w:sz w:val="28"/>
          <w:szCs w:val="28"/>
        </w:rPr>
        <w:t>[2026年度启东市汇龙镇长江汇龙段江堤巡防保安服务项目]的潜在供应商应在</w:t>
      </w:r>
      <w:r>
        <w:rPr>
          <w:rFonts w:hint="eastAsia" w:ascii="宋体" w:hAnsi="宋体" w:cs="宋体"/>
          <w:sz w:val="28"/>
          <w:szCs w:val="28"/>
          <w:lang w:val="en-US" w:eastAsia="zh-CN"/>
        </w:rPr>
        <w:t>启东市人民政府</w:t>
      </w:r>
      <w:r>
        <w:rPr>
          <w:rFonts w:hint="eastAsia" w:ascii="宋体" w:hAnsi="宋体" w:cs="宋体"/>
          <w:sz w:val="28"/>
          <w:szCs w:val="28"/>
        </w:rPr>
        <w:t>网获取采购文件，并</w:t>
      </w:r>
      <w:r>
        <w:rPr>
          <w:rFonts w:hint="eastAsia" w:ascii="宋体" w:hAnsi="宋体" w:cs="宋体"/>
          <w:sz w:val="28"/>
          <w:szCs w:val="28"/>
          <w:highlight w:val="none"/>
        </w:rPr>
        <w:t>于202</w:t>
      </w:r>
      <w:r>
        <w:rPr>
          <w:rFonts w:hint="eastAsia" w:ascii="宋体" w:hAnsi="宋体" w:cs="宋体"/>
          <w:sz w:val="28"/>
          <w:szCs w:val="28"/>
          <w:highlight w:val="none"/>
          <w:lang w:val="en-US" w:eastAsia="zh-CN"/>
        </w:rPr>
        <w:t>6</w:t>
      </w:r>
      <w:r>
        <w:rPr>
          <w:rFonts w:hint="eastAsia" w:ascii="宋体" w:hAnsi="宋体" w:cs="宋体"/>
          <w:sz w:val="28"/>
          <w:szCs w:val="28"/>
          <w:highlight w:val="none"/>
        </w:rPr>
        <w:t>年</w:t>
      </w:r>
      <w:r>
        <w:rPr>
          <w:rFonts w:hint="eastAsia" w:ascii="宋体" w:hAnsi="宋体" w:cs="宋体"/>
          <w:sz w:val="28"/>
          <w:szCs w:val="28"/>
          <w:highlight w:val="none"/>
          <w:lang w:val="en-US" w:eastAsia="zh-CN"/>
        </w:rPr>
        <w:t>3</w:t>
      </w:r>
      <w:r>
        <w:rPr>
          <w:rFonts w:hint="eastAsia" w:ascii="宋体" w:hAnsi="宋体" w:cs="宋体"/>
          <w:sz w:val="28"/>
          <w:szCs w:val="28"/>
          <w:highlight w:val="none"/>
        </w:rPr>
        <w:t>月</w:t>
      </w:r>
      <w:r>
        <w:rPr>
          <w:rFonts w:hint="eastAsia" w:ascii="宋体" w:hAnsi="宋体" w:cs="宋体"/>
          <w:sz w:val="28"/>
          <w:szCs w:val="28"/>
          <w:highlight w:val="none"/>
          <w:lang w:val="en-US" w:eastAsia="zh-CN"/>
        </w:rPr>
        <w:t>26</w:t>
      </w:r>
      <w:r>
        <w:rPr>
          <w:rFonts w:hint="eastAsia" w:ascii="宋体" w:hAnsi="宋体" w:cs="宋体"/>
          <w:sz w:val="28"/>
          <w:szCs w:val="28"/>
          <w:highlight w:val="none"/>
        </w:rPr>
        <w:t>日</w:t>
      </w:r>
      <w:r>
        <w:rPr>
          <w:rFonts w:hint="eastAsia" w:ascii="宋体" w:hAnsi="宋体" w:cs="宋体"/>
          <w:sz w:val="28"/>
          <w:szCs w:val="28"/>
          <w:highlight w:val="none"/>
          <w:lang w:val="en-US" w:eastAsia="zh-CN"/>
        </w:rPr>
        <w:t>09</w:t>
      </w:r>
      <w:r>
        <w:rPr>
          <w:rFonts w:hint="eastAsia" w:ascii="宋体" w:hAnsi="宋体" w:cs="宋体"/>
          <w:sz w:val="28"/>
          <w:szCs w:val="28"/>
          <w:highlight w:val="none"/>
        </w:rPr>
        <w:t>点</w:t>
      </w:r>
      <w:r>
        <w:rPr>
          <w:rFonts w:hint="eastAsia" w:ascii="宋体" w:hAnsi="宋体" w:cs="宋体"/>
          <w:sz w:val="28"/>
          <w:szCs w:val="28"/>
          <w:highlight w:val="none"/>
          <w:lang w:val="en-US" w:eastAsia="zh-CN"/>
        </w:rPr>
        <w:t>00</w:t>
      </w:r>
      <w:r>
        <w:rPr>
          <w:rFonts w:hint="eastAsia" w:ascii="宋体" w:hAnsi="宋体" w:cs="宋体"/>
          <w:sz w:val="28"/>
          <w:szCs w:val="28"/>
          <w:highlight w:val="none"/>
        </w:rPr>
        <w:t>分</w:t>
      </w:r>
      <w:r>
        <w:rPr>
          <w:rFonts w:hint="eastAsia" w:ascii="宋体" w:hAnsi="宋体" w:cs="宋体"/>
          <w:sz w:val="28"/>
          <w:szCs w:val="28"/>
        </w:rPr>
        <w:t>（北京时间）前提交响应文件。</w:t>
      </w:r>
    </w:p>
    <w:p w14:paraId="7F4FAAA6">
      <w:pPr>
        <w:widowControl/>
        <w:shd w:val="clear" w:color="auto" w:fill="FFFFFF"/>
        <w:spacing w:line="500" w:lineRule="exact"/>
        <w:ind w:firstLine="578"/>
        <w:rPr>
          <w:rFonts w:hint="eastAsia" w:ascii="宋体" w:hAnsi="宋体" w:cs="宋体"/>
          <w:b/>
          <w:spacing w:val="7"/>
          <w:sz w:val="28"/>
          <w:szCs w:val="28"/>
        </w:rPr>
      </w:pPr>
      <w:r>
        <w:rPr>
          <w:rFonts w:hint="eastAsia" w:ascii="宋体" w:hAnsi="宋体" w:cs="宋体"/>
          <w:b/>
          <w:spacing w:val="7"/>
          <w:sz w:val="28"/>
          <w:szCs w:val="28"/>
        </w:rPr>
        <w:t>一、项目基本情况</w:t>
      </w:r>
    </w:p>
    <w:p w14:paraId="0F502746">
      <w:pPr>
        <w:spacing w:line="500" w:lineRule="exact"/>
        <w:ind w:firstLine="560"/>
        <w:rPr>
          <w:rFonts w:hint="eastAsia" w:ascii="宋体" w:hAnsi="宋体" w:cs="宋体"/>
          <w:sz w:val="28"/>
          <w:szCs w:val="28"/>
        </w:rPr>
      </w:pPr>
      <w:r>
        <w:rPr>
          <w:rFonts w:hint="eastAsia" w:ascii="宋体" w:hAnsi="宋体" w:cs="宋体"/>
          <w:sz w:val="28"/>
          <w:szCs w:val="28"/>
        </w:rPr>
        <w:t>项目名称：2026年度启东市汇龙镇长江汇龙段江堤巡防保安服务项目</w:t>
      </w:r>
    </w:p>
    <w:p w14:paraId="61BBA9C5">
      <w:pPr>
        <w:spacing w:line="500" w:lineRule="exact"/>
        <w:ind w:firstLine="560"/>
        <w:rPr>
          <w:rFonts w:hint="eastAsia" w:ascii="宋体" w:hAnsi="宋体" w:eastAsia="宋体" w:cs="宋体"/>
          <w:sz w:val="28"/>
          <w:szCs w:val="28"/>
          <w:lang w:val="en-US" w:eastAsia="zh-CN"/>
        </w:rPr>
      </w:pPr>
      <w:r>
        <w:rPr>
          <w:rFonts w:hint="eastAsia" w:ascii="宋体" w:hAnsi="宋体" w:cs="宋体"/>
          <w:sz w:val="28"/>
          <w:szCs w:val="28"/>
        </w:rPr>
        <w:t>项目类型：服务</w:t>
      </w:r>
      <w:r>
        <w:rPr>
          <w:rFonts w:hint="eastAsia" w:ascii="宋体" w:hAnsi="宋体" w:cs="宋体"/>
          <w:sz w:val="28"/>
          <w:szCs w:val="28"/>
          <w:lang w:val="en-US" w:eastAsia="zh-CN"/>
        </w:rPr>
        <w:t xml:space="preserve"> </w:t>
      </w:r>
    </w:p>
    <w:p w14:paraId="136712A0">
      <w:pPr>
        <w:spacing w:line="500" w:lineRule="exact"/>
        <w:ind w:firstLine="560"/>
        <w:rPr>
          <w:rFonts w:hint="eastAsia" w:ascii="宋体" w:hAnsi="宋体" w:cs="宋体"/>
          <w:sz w:val="28"/>
          <w:szCs w:val="28"/>
        </w:rPr>
      </w:pPr>
      <w:r>
        <w:rPr>
          <w:rFonts w:hint="eastAsia" w:ascii="宋体" w:hAnsi="宋体" w:cs="宋体"/>
          <w:sz w:val="28"/>
          <w:szCs w:val="28"/>
        </w:rPr>
        <w:t>所属行业：其他未列明行业</w:t>
      </w:r>
    </w:p>
    <w:p w14:paraId="13B8290E">
      <w:pPr>
        <w:spacing w:line="500" w:lineRule="exact"/>
        <w:ind w:firstLine="560"/>
        <w:rPr>
          <w:rFonts w:hint="eastAsia" w:ascii="宋体" w:hAnsi="宋体" w:cs="宋体"/>
          <w:sz w:val="28"/>
          <w:szCs w:val="28"/>
        </w:rPr>
      </w:pPr>
      <w:r>
        <w:rPr>
          <w:rFonts w:hint="eastAsia" w:ascii="宋体" w:hAnsi="宋体" w:cs="宋体"/>
          <w:sz w:val="28"/>
          <w:szCs w:val="28"/>
        </w:rPr>
        <w:t>预算金额：</w:t>
      </w:r>
      <w:r>
        <w:rPr>
          <w:rFonts w:hint="eastAsia" w:ascii="宋体" w:hAnsi="宋体" w:cs="宋体"/>
          <w:sz w:val="28"/>
          <w:szCs w:val="28"/>
          <w:lang w:val="en-US" w:eastAsia="zh-CN"/>
        </w:rPr>
        <w:t>34</w:t>
      </w:r>
      <w:r>
        <w:rPr>
          <w:rFonts w:hint="eastAsia" w:ascii="宋体" w:hAnsi="宋体" w:cs="宋体"/>
          <w:sz w:val="28"/>
          <w:szCs w:val="28"/>
        </w:rPr>
        <w:t>万元</w:t>
      </w:r>
    </w:p>
    <w:p w14:paraId="2778FF62">
      <w:pPr>
        <w:spacing w:line="500" w:lineRule="exact"/>
        <w:ind w:firstLine="560"/>
        <w:rPr>
          <w:rFonts w:hint="eastAsia" w:ascii="宋体" w:hAnsi="宋体" w:cs="宋体"/>
          <w:sz w:val="28"/>
          <w:szCs w:val="28"/>
        </w:rPr>
      </w:pPr>
      <w:r>
        <w:rPr>
          <w:rFonts w:hint="eastAsia" w:ascii="宋体" w:hAnsi="宋体" w:cs="宋体"/>
          <w:sz w:val="28"/>
          <w:szCs w:val="28"/>
        </w:rPr>
        <w:t>最高限价：</w:t>
      </w:r>
      <w:r>
        <w:rPr>
          <w:rFonts w:hint="eastAsia" w:ascii="宋体" w:hAnsi="宋体" w:cs="宋体"/>
          <w:sz w:val="28"/>
          <w:szCs w:val="28"/>
          <w:lang w:val="en-US" w:eastAsia="zh-CN"/>
        </w:rPr>
        <w:t>34万元</w:t>
      </w:r>
      <w:r>
        <w:rPr>
          <w:rFonts w:hint="eastAsia" w:ascii="宋体" w:hAnsi="宋体" w:cs="宋体"/>
          <w:sz w:val="28"/>
          <w:szCs w:val="28"/>
        </w:rPr>
        <w:t>，供应商投标报价高于</w:t>
      </w:r>
      <w:r>
        <w:rPr>
          <w:rFonts w:hint="eastAsia" w:ascii="宋体" w:hAnsi="宋体" w:cs="宋体"/>
          <w:bCs/>
          <w:sz w:val="28"/>
          <w:szCs w:val="28"/>
        </w:rPr>
        <w:t>最高限价为无效报价。</w:t>
      </w:r>
    </w:p>
    <w:p w14:paraId="5176DBD2">
      <w:pPr>
        <w:spacing w:line="500" w:lineRule="exact"/>
        <w:ind w:firstLine="560"/>
        <w:rPr>
          <w:rFonts w:hint="eastAsia" w:ascii="宋体" w:hAnsi="宋体" w:cs="宋体"/>
          <w:sz w:val="28"/>
          <w:szCs w:val="28"/>
        </w:rPr>
      </w:pPr>
      <w:r>
        <w:rPr>
          <w:rFonts w:hint="eastAsia" w:ascii="宋体" w:hAnsi="宋体" w:cs="宋体"/>
          <w:sz w:val="28"/>
          <w:szCs w:val="28"/>
        </w:rPr>
        <w:t>采购需求：详见磋商文件，请仔细研究。</w:t>
      </w:r>
    </w:p>
    <w:p w14:paraId="6F99F88A">
      <w:pPr>
        <w:spacing w:line="500" w:lineRule="exact"/>
        <w:ind w:firstLine="560"/>
        <w:rPr>
          <w:rFonts w:hint="eastAsia" w:ascii="宋体" w:hAnsi="宋体" w:cs="宋体"/>
          <w:sz w:val="28"/>
          <w:szCs w:val="28"/>
        </w:rPr>
      </w:pPr>
      <w:r>
        <w:rPr>
          <w:rFonts w:hint="eastAsia" w:ascii="宋体" w:hAnsi="宋体" w:cs="宋体"/>
          <w:sz w:val="28"/>
          <w:szCs w:val="28"/>
        </w:rPr>
        <w:t>合同履行期限：详见招标文件第三部分《项目需求》。</w:t>
      </w:r>
    </w:p>
    <w:p w14:paraId="3EF362A4">
      <w:pPr>
        <w:spacing w:line="500" w:lineRule="exact"/>
        <w:ind w:firstLine="560"/>
        <w:rPr>
          <w:rFonts w:hint="eastAsia" w:ascii="宋体" w:hAnsi="宋体" w:cs="宋体"/>
          <w:sz w:val="28"/>
          <w:szCs w:val="28"/>
        </w:rPr>
      </w:pPr>
      <w:r>
        <w:rPr>
          <w:rFonts w:hint="eastAsia" w:ascii="宋体" w:hAnsi="宋体" w:cs="宋体"/>
          <w:sz w:val="28"/>
          <w:szCs w:val="28"/>
        </w:rPr>
        <w:t>本项目不接受联合体投标。</w:t>
      </w:r>
    </w:p>
    <w:p w14:paraId="1DEFD4B6">
      <w:pPr>
        <w:spacing w:line="500" w:lineRule="exact"/>
        <w:ind w:firstLine="560"/>
        <w:rPr>
          <w:rFonts w:hint="eastAsia" w:ascii="宋体" w:hAnsi="宋体" w:cs="宋体"/>
          <w:sz w:val="28"/>
          <w:szCs w:val="28"/>
        </w:rPr>
      </w:pPr>
      <w:r>
        <w:rPr>
          <w:rFonts w:hint="eastAsia" w:ascii="宋体" w:hAnsi="宋体" w:cs="宋体"/>
          <w:sz w:val="28"/>
          <w:szCs w:val="28"/>
        </w:rPr>
        <w:t>本项目不接受分包。</w:t>
      </w:r>
    </w:p>
    <w:p w14:paraId="23B9B10A">
      <w:pPr>
        <w:spacing w:line="500" w:lineRule="exact"/>
        <w:ind w:firstLine="562"/>
        <w:rPr>
          <w:rFonts w:hint="eastAsia" w:ascii="宋体" w:hAnsi="宋体" w:cs="宋体"/>
          <w:b/>
          <w:sz w:val="28"/>
          <w:szCs w:val="28"/>
        </w:rPr>
      </w:pPr>
      <w:r>
        <w:rPr>
          <w:rFonts w:hint="eastAsia" w:ascii="宋体" w:hAnsi="宋体" w:cs="宋体"/>
          <w:b/>
          <w:sz w:val="28"/>
          <w:szCs w:val="28"/>
        </w:rPr>
        <w:t>二、供应商的资格要求：</w:t>
      </w:r>
    </w:p>
    <w:p w14:paraId="5EC3600B">
      <w:pPr>
        <w:spacing w:line="500" w:lineRule="exact"/>
        <w:ind w:firstLine="560"/>
        <w:rPr>
          <w:rFonts w:hint="eastAsia" w:ascii="宋体" w:hAnsi="宋体" w:cs="宋体"/>
          <w:sz w:val="28"/>
          <w:szCs w:val="28"/>
        </w:rPr>
      </w:pPr>
      <w:r>
        <w:rPr>
          <w:rFonts w:hint="eastAsia" w:ascii="宋体" w:hAnsi="宋体" w:cs="宋体"/>
          <w:sz w:val="28"/>
          <w:szCs w:val="28"/>
        </w:rPr>
        <w:t>1.满足《中华人民共和国政府采购法》第二十二条规定；</w:t>
      </w:r>
    </w:p>
    <w:p w14:paraId="38149C75">
      <w:pPr>
        <w:spacing w:line="500" w:lineRule="exact"/>
        <w:ind w:firstLine="560"/>
        <w:rPr>
          <w:rFonts w:hint="eastAsia" w:ascii="宋体" w:hAnsi="宋体" w:cs="宋体"/>
          <w:sz w:val="28"/>
          <w:szCs w:val="28"/>
        </w:rPr>
      </w:pPr>
      <w:r>
        <w:rPr>
          <w:rFonts w:hint="eastAsia" w:ascii="宋体" w:hAnsi="宋体" w:cs="宋体"/>
          <w:sz w:val="28"/>
          <w:szCs w:val="28"/>
        </w:rPr>
        <w:t>2.落实政府采购政策需满足的资格要求：无；</w:t>
      </w:r>
    </w:p>
    <w:p w14:paraId="4D05D1C8">
      <w:pPr>
        <w:spacing w:line="500" w:lineRule="exact"/>
        <w:ind w:firstLine="560"/>
        <w:rPr>
          <w:rFonts w:hint="eastAsia" w:ascii="宋体" w:hAnsi="宋体" w:cs="宋体"/>
          <w:sz w:val="28"/>
          <w:szCs w:val="28"/>
        </w:rPr>
      </w:pPr>
      <w:r>
        <w:rPr>
          <w:rFonts w:hint="eastAsia" w:ascii="宋体" w:hAnsi="宋体" w:cs="宋体"/>
          <w:sz w:val="28"/>
          <w:szCs w:val="28"/>
        </w:rPr>
        <w:t>3.本项目的特定资格要求：</w:t>
      </w:r>
    </w:p>
    <w:p w14:paraId="6E41FE51">
      <w:pPr>
        <w:spacing w:line="500" w:lineRule="exact"/>
        <w:ind w:firstLine="560"/>
        <w:rPr>
          <w:rFonts w:hint="eastAsia" w:ascii="宋体" w:hAnsi="宋体" w:cs="宋体"/>
          <w:sz w:val="28"/>
          <w:szCs w:val="28"/>
          <w:lang w:val="en-US" w:eastAsia="zh-CN"/>
        </w:rPr>
      </w:pPr>
      <w:r>
        <w:rPr>
          <w:rFonts w:hint="eastAsia" w:ascii="宋体" w:hAnsi="宋体" w:cs="宋体"/>
          <w:sz w:val="28"/>
          <w:szCs w:val="28"/>
          <w:lang w:val="en-US" w:eastAsia="zh-CN"/>
        </w:rPr>
        <w:t>（1）投标人具有有效的营业执照。</w:t>
      </w:r>
    </w:p>
    <w:p w14:paraId="076B6580">
      <w:pPr>
        <w:spacing w:line="500" w:lineRule="exact"/>
        <w:ind w:firstLine="560"/>
        <w:rPr>
          <w:rFonts w:hint="eastAsia" w:ascii="宋体" w:hAnsi="宋体" w:eastAsia="宋体" w:cs="宋体"/>
          <w:sz w:val="28"/>
          <w:szCs w:val="28"/>
        </w:rPr>
      </w:pPr>
      <w:r>
        <w:rPr>
          <w:rFonts w:hint="eastAsia" w:ascii="宋体" w:hAnsi="宋体" w:cs="宋体"/>
          <w:sz w:val="28"/>
          <w:szCs w:val="28"/>
          <w:lang w:val="en-US" w:eastAsia="zh-CN"/>
        </w:rPr>
        <w:t>（2）投标人具有公安部门颁发的《保安服务许可证》。</w:t>
      </w:r>
    </w:p>
    <w:p w14:paraId="6B8C422E">
      <w:pPr>
        <w:spacing w:line="500" w:lineRule="exact"/>
        <w:ind w:firstLine="560"/>
        <w:rPr>
          <w:rFonts w:hint="eastAsia" w:ascii="宋体" w:hAnsi="宋体" w:eastAsia="宋体" w:cs="宋体"/>
          <w:sz w:val="28"/>
          <w:szCs w:val="28"/>
        </w:rPr>
      </w:pPr>
      <w:r>
        <w:rPr>
          <w:rFonts w:hint="eastAsia" w:ascii="宋体" w:hAnsi="宋体" w:eastAsia="宋体" w:cs="宋体"/>
          <w:sz w:val="28"/>
          <w:szCs w:val="28"/>
        </w:rPr>
        <w:t>4.禁止情形：</w:t>
      </w:r>
    </w:p>
    <w:p w14:paraId="1AE076B3">
      <w:pPr>
        <w:spacing w:line="500" w:lineRule="exact"/>
        <w:ind w:firstLine="560"/>
        <w:rPr>
          <w:rFonts w:hint="eastAsia" w:ascii="宋体" w:hAnsi="宋体" w:eastAsia="宋体" w:cs="宋体"/>
          <w:sz w:val="28"/>
          <w:szCs w:val="28"/>
        </w:rPr>
      </w:pPr>
      <w:r>
        <w:rPr>
          <w:rFonts w:hint="eastAsia" w:ascii="宋体" w:hAnsi="宋体" w:eastAsia="宋体" w:cs="宋体"/>
          <w:sz w:val="28"/>
          <w:szCs w:val="28"/>
        </w:rPr>
        <w:t>拒绝以下投标人参与投标：</w:t>
      </w:r>
    </w:p>
    <w:p w14:paraId="4970226E">
      <w:pPr>
        <w:spacing w:line="500" w:lineRule="exact"/>
        <w:ind w:firstLine="560"/>
        <w:rPr>
          <w:rFonts w:hint="eastAsia" w:ascii="宋体" w:hAnsi="宋体" w:eastAsia="宋体" w:cs="宋体"/>
          <w:sz w:val="28"/>
          <w:szCs w:val="28"/>
        </w:rPr>
      </w:pPr>
      <w:r>
        <w:rPr>
          <w:rFonts w:hint="eastAsia" w:ascii="宋体" w:hAnsi="宋体" w:eastAsia="宋体" w:cs="宋体"/>
          <w:sz w:val="28"/>
          <w:szCs w:val="28"/>
        </w:rPr>
        <w:t>（1）单位负责人为同一人或者存在直接控股、管理关系的不同投标人，不得参加同一合同项下的政府采购活动。</w:t>
      </w:r>
    </w:p>
    <w:p w14:paraId="491A1320">
      <w:pPr>
        <w:spacing w:line="500" w:lineRule="exact"/>
        <w:ind w:firstLine="560"/>
        <w:rPr>
          <w:rFonts w:hint="eastAsia" w:ascii="宋体" w:hAnsi="宋体" w:eastAsia="宋体" w:cs="宋体"/>
          <w:sz w:val="28"/>
          <w:szCs w:val="28"/>
        </w:rPr>
      </w:pPr>
      <w:r>
        <w:rPr>
          <w:rFonts w:hint="eastAsia" w:ascii="宋体" w:hAnsi="宋体" w:eastAsia="宋体" w:cs="宋体"/>
          <w:sz w:val="28"/>
          <w:szCs w:val="28"/>
        </w:rPr>
        <w:t xml:space="preserve">（2）为采购项目提供项目管理、监理等服务的投标人，不得再参加本采购项目的其他采购活动。           </w:t>
      </w:r>
    </w:p>
    <w:p w14:paraId="2DCC196F">
      <w:pPr>
        <w:spacing w:line="500" w:lineRule="exact"/>
        <w:ind w:firstLine="562"/>
        <w:rPr>
          <w:rFonts w:hint="eastAsia" w:ascii="宋体" w:hAnsi="宋体" w:cs="宋体"/>
          <w:b/>
          <w:sz w:val="28"/>
          <w:szCs w:val="28"/>
        </w:rPr>
      </w:pPr>
      <w:r>
        <w:rPr>
          <w:rFonts w:hint="eastAsia" w:ascii="宋体" w:hAnsi="宋体" w:cs="宋体"/>
          <w:b/>
          <w:sz w:val="28"/>
          <w:szCs w:val="28"/>
        </w:rPr>
        <w:t>三、获取采购文件</w:t>
      </w:r>
    </w:p>
    <w:p w14:paraId="0845591F">
      <w:pPr>
        <w:spacing w:line="500" w:lineRule="exact"/>
        <w:ind w:firstLine="560"/>
        <w:rPr>
          <w:rFonts w:hint="eastAsia" w:ascii="宋体" w:hAnsi="宋体" w:cs="宋体"/>
          <w:sz w:val="28"/>
          <w:szCs w:val="28"/>
        </w:rPr>
      </w:pPr>
      <w:r>
        <w:rPr>
          <w:rFonts w:hint="eastAsia" w:ascii="宋体" w:hAnsi="宋体" w:cs="宋体"/>
          <w:sz w:val="28"/>
          <w:szCs w:val="28"/>
        </w:rPr>
        <w:t>获取磋商文件的时间：自本招标公告上网发布之日起。</w:t>
      </w:r>
    </w:p>
    <w:p w14:paraId="4AD631E5">
      <w:pPr>
        <w:spacing w:line="500" w:lineRule="exact"/>
        <w:ind w:firstLine="560"/>
        <w:rPr>
          <w:rFonts w:hint="eastAsia" w:ascii="宋体" w:hAnsi="宋体" w:cs="宋体"/>
          <w:sz w:val="28"/>
          <w:szCs w:val="28"/>
        </w:rPr>
      </w:pPr>
      <w:r>
        <w:rPr>
          <w:rFonts w:hint="eastAsia" w:ascii="宋体" w:hAnsi="宋体" w:cs="宋体"/>
          <w:sz w:val="28"/>
          <w:szCs w:val="28"/>
        </w:rPr>
        <w:t>获取磋商文件的地点、方式：在</w:t>
      </w:r>
      <w:r>
        <w:rPr>
          <w:rFonts w:hint="eastAsia" w:ascii="宋体" w:hAnsi="宋体" w:cs="宋体"/>
          <w:sz w:val="28"/>
          <w:szCs w:val="28"/>
          <w:lang w:val="en-US" w:eastAsia="zh-CN"/>
        </w:rPr>
        <w:t>启东市人民政府</w:t>
      </w:r>
      <w:r>
        <w:rPr>
          <w:rFonts w:hint="eastAsia" w:ascii="宋体" w:hAnsi="宋体" w:cs="宋体"/>
          <w:sz w:val="28"/>
          <w:szCs w:val="28"/>
        </w:rPr>
        <w:t>网自行下载。</w:t>
      </w:r>
    </w:p>
    <w:p w14:paraId="6D482C2D">
      <w:pPr>
        <w:spacing w:line="480" w:lineRule="exact"/>
        <w:ind w:firstLine="560"/>
        <w:rPr>
          <w:rFonts w:hint="eastAsia" w:ascii="宋体" w:hAnsi="宋体" w:cs="宋体"/>
          <w:sz w:val="28"/>
          <w:szCs w:val="28"/>
        </w:rPr>
      </w:pPr>
      <w:r>
        <w:rPr>
          <w:rFonts w:hint="eastAsia" w:ascii="宋体" w:hAnsi="宋体" w:cs="宋体"/>
          <w:sz w:val="28"/>
          <w:szCs w:val="28"/>
        </w:rPr>
        <w:t>获取磋商文件的方式：凡有意参与磋商的供应商须自行从</w:t>
      </w:r>
      <w:r>
        <w:rPr>
          <w:rFonts w:hint="eastAsia" w:ascii="宋体" w:hAnsi="宋体" w:cs="宋体"/>
          <w:sz w:val="28"/>
          <w:szCs w:val="28"/>
          <w:lang w:val="en-US" w:eastAsia="zh-CN"/>
        </w:rPr>
        <w:t>启东市人民政府</w:t>
      </w:r>
      <w:r>
        <w:rPr>
          <w:rFonts w:hint="eastAsia" w:ascii="宋体" w:hAnsi="宋体" w:cs="宋体"/>
          <w:sz w:val="28"/>
          <w:szCs w:val="28"/>
        </w:rPr>
        <w:t>网下载。</w:t>
      </w:r>
    </w:p>
    <w:p w14:paraId="66F26378">
      <w:pPr>
        <w:spacing w:line="480" w:lineRule="exact"/>
        <w:ind w:firstLine="562"/>
        <w:rPr>
          <w:rFonts w:hint="eastAsia" w:ascii="宋体" w:hAnsi="宋体" w:cs="宋体"/>
          <w:b/>
          <w:sz w:val="28"/>
          <w:szCs w:val="28"/>
        </w:rPr>
      </w:pPr>
      <w:r>
        <w:rPr>
          <w:rFonts w:hint="eastAsia" w:ascii="宋体" w:hAnsi="宋体" w:cs="宋体"/>
          <w:b/>
          <w:sz w:val="28"/>
          <w:szCs w:val="28"/>
        </w:rPr>
        <w:t>四、提交响应文件截止时间、磋商时间和地点</w:t>
      </w:r>
    </w:p>
    <w:p w14:paraId="780B70BB">
      <w:pPr>
        <w:spacing w:line="480" w:lineRule="exact"/>
        <w:ind w:firstLine="560"/>
        <w:rPr>
          <w:rFonts w:hint="eastAsia" w:ascii="宋体" w:hAnsi="宋体" w:cs="宋体"/>
          <w:sz w:val="28"/>
          <w:szCs w:val="28"/>
          <w:highlight w:val="none"/>
        </w:rPr>
      </w:pPr>
      <w:r>
        <w:rPr>
          <w:rFonts w:hint="eastAsia" w:ascii="宋体" w:hAnsi="宋体" w:cs="宋体"/>
          <w:sz w:val="28"/>
          <w:szCs w:val="28"/>
        </w:rPr>
        <w:t>投标截止时间</w:t>
      </w:r>
      <w:r>
        <w:rPr>
          <w:rFonts w:hint="eastAsia" w:ascii="宋体" w:hAnsi="宋体" w:cs="宋体"/>
          <w:sz w:val="28"/>
          <w:szCs w:val="28"/>
          <w:highlight w:val="none"/>
        </w:rPr>
        <w:t>：202</w:t>
      </w:r>
      <w:r>
        <w:rPr>
          <w:rFonts w:hint="eastAsia" w:ascii="宋体" w:hAnsi="宋体" w:cs="宋体"/>
          <w:sz w:val="28"/>
          <w:szCs w:val="28"/>
          <w:highlight w:val="none"/>
          <w:lang w:val="en-US" w:eastAsia="zh-CN"/>
        </w:rPr>
        <w:t>6</w:t>
      </w:r>
      <w:r>
        <w:rPr>
          <w:rFonts w:hint="eastAsia" w:ascii="宋体" w:hAnsi="宋体" w:cs="宋体"/>
          <w:sz w:val="28"/>
          <w:szCs w:val="28"/>
          <w:highlight w:val="none"/>
        </w:rPr>
        <w:t>年</w:t>
      </w:r>
      <w:r>
        <w:rPr>
          <w:rFonts w:hint="eastAsia" w:ascii="宋体" w:hAnsi="宋体" w:cs="宋体"/>
          <w:sz w:val="28"/>
          <w:szCs w:val="28"/>
          <w:highlight w:val="none"/>
          <w:lang w:val="en-US" w:eastAsia="zh-CN"/>
        </w:rPr>
        <w:t>3</w:t>
      </w:r>
      <w:r>
        <w:rPr>
          <w:rFonts w:hint="eastAsia" w:ascii="宋体" w:hAnsi="宋体" w:cs="宋体"/>
          <w:sz w:val="28"/>
          <w:szCs w:val="28"/>
          <w:highlight w:val="none"/>
        </w:rPr>
        <w:t>月</w:t>
      </w:r>
      <w:r>
        <w:rPr>
          <w:rFonts w:hint="eastAsia" w:ascii="宋体" w:hAnsi="宋体" w:cs="宋体"/>
          <w:sz w:val="28"/>
          <w:szCs w:val="28"/>
          <w:highlight w:val="none"/>
          <w:lang w:val="en-US" w:eastAsia="zh-CN"/>
        </w:rPr>
        <w:t>26</w:t>
      </w:r>
      <w:r>
        <w:rPr>
          <w:rFonts w:hint="eastAsia" w:ascii="宋体" w:hAnsi="宋体" w:cs="宋体"/>
          <w:sz w:val="28"/>
          <w:szCs w:val="28"/>
          <w:highlight w:val="none"/>
        </w:rPr>
        <w:t>日</w:t>
      </w:r>
      <w:r>
        <w:rPr>
          <w:rFonts w:hint="eastAsia" w:ascii="宋体" w:hAnsi="宋体" w:cs="宋体"/>
          <w:sz w:val="28"/>
          <w:szCs w:val="28"/>
          <w:highlight w:val="none"/>
          <w:lang w:val="en-US" w:eastAsia="zh-CN"/>
        </w:rPr>
        <w:t>09</w:t>
      </w:r>
      <w:r>
        <w:rPr>
          <w:rFonts w:hint="eastAsia" w:ascii="宋体" w:hAnsi="宋体" w:cs="宋体"/>
          <w:sz w:val="28"/>
          <w:szCs w:val="28"/>
          <w:highlight w:val="none"/>
        </w:rPr>
        <w:t>:00（北京时间）</w:t>
      </w:r>
    </w:p>
    <w:p w14:paraId="19793BC2">
      <w:pPr>
        <w:spacing w:line="480" w:lineRule="exact"/>
        <w:ind w:firstLine="560"/>
        <w:rPr>
          <w:rFonts w:hint="eastAsia" w:ascii="宋体" w:hAnsi="宋体" w:cs="宋体"/>
          <w:sz w:val="28"/>
          <w:szCs w:val="28"/>
        </w:rPr>
      </w:pPr>
      <w:r>
        <w:rPr>
          <w:rFonts w:hint="eastAsia" w:ascii="宋体" w:hAnsi="宋体" w:cs="宋体"/>
          <w:sz w:val="28"/>
          <w:szCs w:val="28"/>
          <w:highlight w:val="none"/>
        </w:rPr>
        <w:t>开标时间：202</w:t>
      </w:r>
      <w:r>
        <w:rPr>
          <w:rFonts w:hint="eastAsia" w:ascii="宋体" w:hAnsi="宋体" w:cs="宋体"/>
          <w:sz w:val="28"/>
          <w:szCs w:val="28"/>
          <w:highlight w:val="none"/>
          <w:lang w:val="en-US" w:eastAsia="zh-CN"/>
        </w:rPr>
        <w:t>6</w:t>
      </w:r>
      <w:r>
        <w:rPr>
          <w:rFonts w:hint="eastAsia" w:ascii="宋体" w:hAnsi="宋体" w:cs="宋体"/>
          <w:sz w:val="28"/>
          <w:szCs w:val="28"/>
          <w:highlight w:val="none"/>
        </w:rPr>
        <w:t>年</w:t>
      </w:r>
      <w:r>
        <w:rPr>
          <w:rFonts w:hint="eastAsia" w:ascii="宋体" w:hAnsi="宋体" w:cs="宋体"/>
          <w:sz w:val="28"/>
          <w:szCs w:val="28"/>
          <w:highlight w:val="none"/>
          <w:lang w:val="en-US" w:eastAsia="zh-CN"/>
        </w:rPr>
        <w:t>3</w:t>
      </w:r>
      <w:r>
        <w:rPr>
          <w:rFonts w:hint="eastAsia" w:ascii="宋体" w:hAnsi="宋体" w:cs="宋体"/>
          <w:sz w:val="28"/>
          <w:szCs w:val="28"/>
          <w:highlight w:val="none"/>
        </w:rPr>
        <w:t>月</w:t>
      </w:r>
      <w:r>
        <w:rPr>
          <w:rFonts w:hint="eastAsia" w:ascii="宋体" w:hAnsi="宋体" w:cs="宋体"/>
          <w:sz w:val="28"/>
          <w:szCs w:val="28"/>
          <w:highlight w:val="none"/>
          <w:lang w:val="en-US" w:eastAsia="zh-CN"/>
        </w:rPr>
        <w:t>26</w:t>
      </w:r>
      <w:r>
        <w:rPr>
          <w:rFonts w:hint="eastAsia" w:ascii="宋体" w:hAnsi="宋体" w:cs="宋体"/>
          <w:sz w:val="28"/>
          <w:szCs w:val="28"/>
          <w:highlight w:val="none"/>
        </w:rPr>
        <w:t>日</w:t>
      </w:r>
      <w:r>
        <w:rPr>
          <w:rFonts w:hint="eastAsia" w:ascii="宋体" w:hAnsi="宋体" w:cs="宋体"/>
          <w:sz w:val="28"/>
          <w:szCs w:val="28"/>
          <w:highlight w:val="none"/>
          <w:lang w:val="en-US" w:eastAsia="zh-CN"/>
        </w:rPr>
        <w:t>09</w:t>
      </w:r>
      <w:r>
        <w:rPr>
          <w:rFonts w:hint="eastAsia" w:ascii="宋体" w:hAnsi="宋体" w:cs="宋体"/>
          <w:sz w:val="28"/>
          <w:szCs w:val="28"/>
          <w:highlight w:val="none"/>
        </w:rPr>
        <w:t>:00（</w:t>
      </w:r>
      <w:r>
        <w:rPr>
          <w:rFonts w:hint="eastAsia" w:ascii="宋体" w:hAnsi="宋体" w:cs="宋体"/>
          <w:sz w:val="28"/>
          <w:szCs w:val="28"/>
        </w:rPr>
        <w:t>北京时间）</w:t>
      </w:r>
    </w:p>
    <w:p w14:paraId="69437069">
      <w:pPr>
        <w:spacing w:line="480" w:lineRule="exact"/>
        <w:ind w:firstLine="560"/>
        <w:rPr>
          <w:rFonts w:hint="eastAsia" w:ascii="宋体" w:hAnsi="宋体" w:eastAsia="宋体" w:cs="宋体"/>
          <w:sz w:val="28"/>
          <w:szCs w:val="28"/>
          <w:highlight w:val="yellow"/>
          <w:lang w:eastAsia="zh-CN"/>
        </w:rPr>
      </w:pPr>
      <w:r>
        <w:rPr>
          <w:rFonts w:hint="eastAsia" w:ascii="宋体" w:hAnsi="宋体" w:cs="宋体"/>
          <w:sz w:val="28"/>
          <w:szCs w:val="28"/>
          <w:highlight w:val="none"/>
        </w:rPr>
        <w:t>开标地点：启东市汇龙镇便民服务中心二楼会议室</w:t>
      </w:r>
      <w:r>
        <w:rPr>
          <w:rFonts w:hint="eastAsia" w:ascii="宋体" w:hAnsi="宋体" w:cs="宋体"/>
          <w:sz w:val="28"/>
          <w:szCs w:val="28"/>
          <w:highlight w:val="none"/>
          <w:lang w:eastAsia="zh-CN"/>
        </w:rPr>
        <w:t>。</w:t>
      </w:r>
    </w:p>
    <w:p w14:paraId="48EA4E1A">
      <w:pPr>
        <w:spacing w:line="480" w:lineRule="exact"/>
        <w:ind w:firstLine="562"/>
        <w:rPr>
          <w:rFonts w:hint="eastAsia" w:ascii="宋体" w:hAnsi="宋体" w:cs="宋体"/>
          <w:b/>
          <w:sz w:val="28"/>
          <w:szCs w:val="28"/>
        </w:rPr>
      </w:pPr>
      <w:r>
        <w:rPr>
          <w:rFonts w:hint="eastAsia" w:ascii="宋体" w:hAnsi="宋体" w:cs="宋体"/>
          <w:b/>
          <w:sz w:val="28"/>
          <w:szCs w:val="28"/>
        </w:rPr>
        <w:t>五、其他补充事宜</w:t>
      </w:r>
    </w:p>
    <w:p w14:paraId="62751605">
      <w:pPr>
        <w:spacing w:line="480" w:lineRule="exact"/>
        <w:ind w:firstLine="560"/>
        <w:rPr>
          <w:rFonts w:hint="eastAsia" w:ascii="宋体" w:hAnsi="宋体" w:cs="宋体"/>
          <w:sz w:val="28"/>
          <w:szCs w:val="28"/>
        </w:rPr>
      </w:pPr>
      <w:r>
        <w:rPr>
          <w:rFonts w:hint="eastAsia" w:ascii="宋体" w:hAnsi="宋体" w:cs="宋体"/>
          <w:sz w:val="28"/>
          <w:szCs w:val="28"/>
        </w:rPr>
        <w:t>1、投标保证金：免收。</w:t>
      </w:r>
    </w:p>
    <w:p w14:paraId="2E7184A6">
      <w:pPr>
        <w:spacing w:line="480" w:lineRule="exact"/>
        <w:ind w:firstLine="560"/>
        <w:rPr>
          <w:rFonts w:hint="eastAsia" w:ascii="宋体" w:hAnsi="宋体" w:cs="宋体"/>
          <w:sz w:val="28"/>
          <w:szCs w:val="28"/>
        </w:rPr>
      </w:pPr>
      <w:r>
        <w:rPr>
          <w:rFonts w:hint="eastAsia" w:ascii="宋体" w:hAnsi="宋体" w:cs="宋体"/>
          <w:sz w:val="28"/>
          <w:szCs w:val="28"/>
        </w:rPr>
        <w:t>2、项目磋商活动模式：本项目见面开标。</w:t>
      </w:r>
    </w:p>
    <w:p w14:paraId="0FA78B94">
      <w:pPr>
        <w:spacing w:line="480" w:lineRule="exact"/>
        <w:ind w:firstLine="560"/>
        <w:rPr>
          <w:rFonts w:hint="eastAsia" w:ascii="宋体" w:hAnsi="宋体" w:cs="宋体"/>
          <w:sz w:val="28"/>
          <w:szCs w:val="28"/>
        </w:rPr>
      </w:pPr>
      <w:r>
        <w:rPr>
          <w:rFonts w:hint="eastAsia" w:ascii="宋体" w:hAnsi="宋体" w:cs="宋体"/>
          <w:sz w:val="28"/>
          <w:szCs w:val="28"/>
        </w:rPr>
        <w:t>3、项目演示、样品、答辩等：无。</w:t>
      </w:r>
    </w:p>
    <w:p w14:paraId="4D692F53">
      <w:pPr>
        <w:spacing w:line="480" w:lineRule="exact"/>
        <w:ind w:firstLine="560"/>
        <w:rPr>
          <w:rFonts w:hint="eastAsia" w:ascii="宋体" w:hAnsi="宋体" w:cs="宋体"/>
          <w:sz w:val="28"/>
          <w:szCs w:val="28"/>
        </w:rPr>
      </w:pPr>
      <w:r>
        <w:rPr>
          <w:rFonts w:hint="eastAsia" w:ascii="宋体" w:hAnsi="宋体" w:cs="宋体"/>
          <w:sz w:val="28"/>
          <w:szCs w:val="28"/>
        </w:rPr>
        <w:t>4、对项目需求部分（供应商资格要求、项目需求、商务技术评分标准）的询问、质疑请向采购人提出，由采购人负责答复；对项目磋商文件其他部分的询问请向采购代理机构提出。</w:t>
      </w:r>
    </w:p>
    <w:p w14:paraId="4C9F48CE">
      <w:pPr>
        <w:widowControl/>
        <w:shd w:val="clear" w:color="auto" w:fill="FFFFFF"/>
        <w:spacing w:line="480" w:lineRule="exact"/>
        <w:ind w:firstLine="575"/>
        <w:rPr>
          <w:rFonts w:hint="eastAsia" w:ascii="宋体" w:hAnsi="宋体" w:cs="宋体"/>
          <w:b/>
          <w:color w:val="333333"/>
          <w:spacing w:val="7"/>
          <w:sz w:val="28"/>
          <w:szCs w:val="28"/>
        </w:rPr>
      </w:pPr>
      <w:r>
        <w:rPr>
          <w:rFonts w:hint="eastAsia" w:ascii="宋体" w:hAnsi="宋体" w:cs="宋体"/>
          <w:b/>
          <w:color w:val="333333"/>
          <w:spacing w:val="7"/>
          <w:sz w:val="28"/>
          <w:szCs w:val="28"/>
        </w:rPr>
        <w:t>六、凡对本次采购提出询问，请按以下方式联系。</w:t>
      </w:r>
    </w:p>
    <w:p w14:paraId="1C8DC273">
      <w:pPr>
        <w:spacing w:line="480" w:lineRule="exact"/>
        <w:ind w:firstLine="560"/>
        <w:rPr>
          <w:rFonts w:hint="eastAsia" w:ascii="宋体" w:hAnsi="宋体" w:cs="宋体"/>
          <w:sz w:val="28"/>
          <w:szCs w:val="28"/>
        </w:rPr>
      </w:pPr>
      <w:r>
        <w:rPr>
          <w:rFonts w:hint="eastAsia" w:ascii="宋体" w:hAnsi="宋体" w:cs="宋体"/>
          <w:sz w:val="28"/>
          <w:szCs w:val="28"/>
        </w:rPr>
        <w:t>1.采购人信息</w:t>
      </w:r>
    </w:p>
    <w:p w14:paraId="47700352">
      <w:pPr>
        <w:spacing w:line="480" w:lineRule="exact"/>
        <w:ind w:firstLine="560" w:firstLineChars="200"/>
        <w:rPr>
          <w:rFonts w:hint="eastAsia" w:ascii="宋体" w:hAnsi="宋体" w:cs="宋体"/>
          <w:sz w:val="28"/>
          <w:szCs w:val="28"/>
        </w:rPr>
      </w:pPr>
      <w:r>
        <w:rPr>
          <w:rFonts w:hint="eastAsia" w:ascii="宋体" w:hAnsi="宋体" w:cs="宋体"/>
          <w:sz w:val="28"/>
          <w:szCs w:val="28"/>
        </w:rPr>
        <w:t>名 称：</w:t>
      </w:r>
      <w:r>
        <w:rPr>
          <w:rFonts w:hint="eastAsia" w:ascii="宋体" w:hAnsi="宋体" w:cs="宋体"/>
          <w:sz w:val="28"/>
          <w:szCs w:val="28"/>
          <w:lang w:val="en-US" w:eastAsia="zh-CN"/>
        </w:rPr>
        <w:t>启东市汇龙镇人民政府</w:t>
      </w:r>
      <w:r>
        <w:rPr>
          <w:rFonts w:hint="eastAsia" w:ascii="宋体" w:hAnsi="宋体" w:cs="宋体"/>
          <w:sz w:val="28"/>
          <w:szCs w:val="28"/>
        </w:rPr>
        <w:t>　　　　　　　　　　　　</w:t>
      </w:r>
    </w:p>
    <w:p w14:paraId="5BA3263C">
      <w:pPr>
        <w:spacing w:line="480" w:lineRule="exact"/>
        <w:ind w:firstLine="560" w:firstLineChars="200"/>
        <w:rPr>
          <w:rFonts w:hint="eastAsia" w:ascii="宋体" w:hAnsi="宋体" w:eastAsia="宋体" w:cs="宋体"/>
          <w:sz w:val="28"/>
          <w:szCs w:val="28"/>
          <w:lang w:eastAsia="zh-CN"/>
        </w:rPr>
      </w:pPr>
      <w:r>
        <w:rPr>
          <w:rFonts w:hint="eastAsia" w:ascii="宋体" w:hAnsi="宋体" w:cs="宋体"/>
          <w:sz w:val="28"/>
          <w:szCs w:val="28"/>
        </w:rPr>
        <w:t>地址：</w:t>
      </w:r>
      <w:r>
        <w:rPr>
          <w:rFonts w:hint="eastAsia" w:ascii="宋体" w:hAnsi="宋体" w:cs="宋体"/>
          <w:sz w:val="28"/>
          <w:szCs w:val="28"/>
          <w:lang w:val="en-US" w:eastAsia="zh-CN"/>
        </w:rPr>
        <w:t xml:space="preserve">启东市汇龙镇人民中路288号 </w:t>
      </w:r>
    </w:p>
    <w:p w14:paraId="2939DB72">
      <w:pPr>
        <w:spacing w:line="480" w:lineRule="exact"/>
        <w:ind w:firstLine="560" w:firstLineChars="200"/>
        <w:rPr>
          <w:rFonts w:hint="eastAsia" w:ascii="宋体" w:hAnsi="宋体" w:cs="宋体"/>
          <w:sz w:val="28"/>
          <w:szCs w:val="28"/>
        </w:rPr>
      </w:pPr>
      <w:r>
        <w:rPr>
          <w:rFonts w:hint="eastAsia" w:ascii="宋体" w:hAnsi="宋体" w:cs="宋体"/>
          <w:sz w:val="28"/>
          <w:szCs w:val="28"/>
        </w:rPr>
        <w:t>联系人：</w:t>
      </w:r>
      <w:r>
        <w:rPr>
          <w:rFonts w:hint="eastAsia" w:ascii="宋体" w:hAnsi="宋体" w:cs="宋体"/>
          <w:sz w:val="28"/>
          <w:szCs w:val="28"/>
          <w:lang w:val="en-US" w:eastAsia="zh-CN"/>
        </w:rPr>
        <w:t>施先生</w:t>
      </w:r>
      <w:r>
        <w:rPr>
          <w:rFonts w:hint="eastAsia" w:ascii="宋体" w:hAnsi="宋体" w:cs="宋体"/>
          <w:sz w:val="28"/>
          <w:szCs w:val="28"/>
        </w:rPr>
        <w:t>　　　　　　　　　　</w:t>
      </w:r>
    </w:p>
    <w:p w14:paraId="722E3E49">
      <w:pPr>
        <w:spacing w:line="480" w:lineRule="exact"/>
        <w:ind w:firstLine="560" w:firstLineChars="200"/>
        <w:rPr>
          <w:rFonts w:hint="eastAsia" w:ascii="宋体" w:hAnsi="宋体" w:cs="宋体"/>
          <w:sz w:val="28"/>
          <w:szCs w:val="28"/>
        </w:rPr>
      </w:pPr>
      <w:r>
        <w:rPr>
          <w:rFonts w:hint="eastAsia" w:ascii="宋体" w:hAnsi="宋体" w:cs="宋体"/>
          <w:sz w:val="28"/>
          <w:szCs w:val="28"/>
          <w:highlight w:val="none"/>
        </w:rPr>
        <w:t>联系方式：</w:t>
      </w:r>
      <w:r>
        <w:rPr>
          <w:rFonts w:hint="eastAsia" w:ascii="宋体" w:hAnsi="宋体" w:cs="宋体"/>
          <w:sz w:val="28"/>
          <w:szCs w:val="28"/>
          <w:highlight w:val="none"/>
          <w:lang w:val="en-US" w:eastAsia="zh-CN"/>
        </w:rPr>
        <w:t>0513-83301955</w:t>
      </w:r>
      <w:r>
        <w:rPr>
          <w:rFonts w:hint="eastAsia" w:ascii="宋体" w:hAnsi="宋体" w:cs="宋体"/>
          <w:sz w:val="28"/>
          <w:szCs w:val="28"/>
          <w:highlight w:val="none"/>
        </w:rPr>
        <w:t>　</w:t>
      </w:r>
      <w:r>
        <w:rPr>
          <w:rFonts w:hint="eastAsia" w:ascii="宋体" w:hAnsi="宋体" w:cs="宋体"/>
          <w:sz w:val="28"/>
          <w:szCs w:val="28"/>
        </w:rPr>
        <w:t>　　　　　　</w:t>
      </w:r>
    </w:p>
    <w:p w14:paraId="0B744050">
      <w:pPr>
        <w:spacing w:line="480" w:lineRule="exact"/>
        <w:ind w:firstLine="560"/>
        <w:rPr>
          <w:rFonts w:hint="eastAsia" w:ascii="宋体" w:hAnsi="宋体" w:cs="宋体"/>
          <w:sz w:val="28"/>
          <w:szCs w:val="28"/>
        </w:rPr>
      </w:pPr>
      <w:r>
        <w:rPr>
          <w:rFonts w:hint="eastAsia" w:ascii="宋体" w:hAnsi="宋体" w:cs="宋体"/>
          <w:sz w:val="28"/>
          <w:szCs w:val="28"/>
        </w:rPr>
        <w:t>2、采购代理机构</w:t>
      </w:r>
      <w:bookmarkStart w:id="89" w:name="_GoBack"/>
      <w:bookmarkEnd w:id="89"/>
    </w:p>
    <w:p w14:paraId="533CAB7D">
      <w:pPr>
        <w:spacing w:line="480" w:lineRule="exact"/>
        <w:ind w:firstLine="560" w:firstLineChars="200"/>
        <w:rPr>
          <w:rFonts w:hint="eastAsia" w:ascii="宋体" w:hAnsi="宋体" w:cs="宋体"/>
          <w:sz w:val="28"/>
          <w:szCs w:val="28"/>
        </w:rPr>
      </w:pPr>
      <w:r>
        <w:rPr>
          <w:rFonts w:hint="eastAsia" w:ascii="宋体" w:hAnsi="宋体" w:cs="宋体"/>
          <w:sz w:val="28"/>
          <w:szCs w:val="28"/>
        </w:rPr>
        <w:t>名 称：江苏</w:t>
      </w:r>
      <w:r>
        <w:rPr>
          <w:rFonts w:hint="eastAsia" w:ascii="宋体" w:hAnsi="宋体" w:cs="宋体"/>
          <w:sz w:val="28"/>
          <w:szCs w:val="28"/>
          <w:lang w:val="en-US" w:eastAsia="zh-CN"/>
        </w:rPr>
        <w:t>缔逸</w:t>
      </w:r>
      <w:r>
        <w:rPr>
          <w:rFonts w:hint="eastAsia" w:ascii="宋体" w:hAnsi="宋体" w:cs="宋体"/>
          <w:sz w:val="28"/>
          <w:szCs w:val="28"/>
        </w:rPr>
        <w:t>项目管理有限公司</w:t>
      </w:r>
    </w:p>
    <w:p w14:paraId="4C9C0677">
      <w:pPr>
        <w:spacing w:line="480" w:lineRule="exact"/>
        <w:ind w:firstLine="560" w:firstLineChars="200"/>
        <w:rPr>
          <w:rFonts w:hint="eastAsia" w:ascii="宋体" w:hAnsi="宋体" w:cs="宋体"/>
          <w:sz w:val="28"/>
          <w:szCs w:val="28"/>
        </w:rPr>
      </w:pPr>
      <w:r>
        <w:rPr>
          <w:rFonts w:hint="eastAsia" w:ascii="宋体" w:hAnsi="宋体" w:cs="宋体"/>
          <w:sz w:val="28"/>
          <w:szCs w:val="28"/>
        </w:rPr>
        <w:t>地  址：启东市</w:t>
      </w:r>
      <w:r>
        <w:rPr>
          <w:rFonts w:hint="eastAsia" w:ascii="宋体" w:hAnsi="宋体" w:cs="宋体"/>
          <w:sz w:val="28"/>
          <w:szCs w:val="28"/>
          <w:lang w:val="en-US" w:eastAsia="zh-CN"/>
        </w:rPr>
        <w:t>公园北路1088号</w:t>
      </w:r>
      <w:r>
        <w:rPr>
          <w:rFonts w:hint="eastAsia" w:ascii="宋体" w:hAnsi="宋体" w:cs="宋体"/>
          <w:sz w:val="28"/>
          <w:szCs w:val="28"/>
        </w:rPr>
        <w:t xml:space="preserve"> </w:t>
      </w:r>
    </w:p>
    <w:p w14:paraId="37522AEA">
      <w:pPr>
        <w:spacing w:line="480" w:lineRule="exact"/>
        <w:ind w:firstLine="560" w:firstLineChars="200"/>
        <w:rPr>
          <w:rFonts w:hint="default" w:ascii="宋体" w:hAnsi="宋体" w:eastAsia="宋体" w:cs="宋体"/>
          <w:sz w:val="28"/>
          <w:szCs w:val="28"/>
          <w:lang w:val="en-US" w:eastAsia="zh-CN"/>
        </w:rPr>
      </w:pPr>
      <w:r>
        <w:rPr>
          <w:rFonts w:hint="eastAsia" w:ascii="宋体" w:hAnsi="宋体" w:cs="宋体"/>
          <w:sz w:val="28"/>
          <w:szCs w:val="28"/>
          <w:lang w:val="en-US" w:eastAsia="zh-CN"/>
        </w:rPr>
        <w:t>联系人：苏海丹</w:t>
      </w:r>
    </w:p>
    <w:p w14:paraId="2BF7ED92">
      <w:pPr>
        <w:spacing w:line="480" w:lineRule="exact"/>
        <w:ind w:firstLine="560" w:firstLineChars="200"/>
        <w:rPr>
          <w:rFonts w:hint="default" w:ascii="宋体" w:hAnsi="宋体" w:eastAsia="宋体" w:cs="宋体"/>
          <w:sz w:val="28"/>
          <w:szCs w:val="28"/>
          <w:lang w:val="en-US" w:eastAsia="zh-CN"/>
        </w:rPr>
      </w:pPr>
      <w:r>
        <w:rPr>
          <w:rFonts w:hint="eastAsia" w:ascii="宋体" w:hAnsi="宋体" w:cs="宋体"/>
          <w:sz w:val="28"/>
          <w:szCs w:val="28"/>
        </w:rPr>
        <w:t>联系方式：0513-</w:t>
      </w:r>
      <w:r>
        <w:rPr>
          <w:rFonts w:hint="eastAsia" w:ascii="宋体" w:hAnsi="宋体" w:cs="宋体"/>
          <w:sz w:val="28"/>
          <w:szCs w:val="28"/>
          <w:lang w:val="en-US" w:eastAsia="zh-CN"/>
        </w:rPr>
        <w:t>68039918</w:t>
      </w:r>
    </w:p>
    <w:p w14:paraId="32E3B8F3">
      <w:pPr>
        <w:spacing w:line="480" w:lineRule="exact"/>
        <w:rPr>
          <w:rFonts w:hint="eastAsia" w:ascii="宋体" w:hAnsi="宋体" w:cs="宋体"/>
          <w:b/>
          <w:sz w:val="28"/>
          <w:szCs w:val="28"/>
        </w:rPr>
      </w:pPr>
    </w:p>
    <w:p w14:paraId="27D64EDE">
      <w:pPr>
        <w:spacing w:line="480" w:lineRule="exact"/>
        <w:rPr>
          <w:rFonts w:hint="eastAsia" w:ascii="宋体" w:hAnsi="宋体" w:cs="宋体"/>
          <w:sz w:val="28"/>
          <w:szCs w:val="28"/>
        </w:rPr>
      </w:pPr>
      <w:r>
        <w:rPr>
          <w:rFonts w:hint="eastAsia" w:ascii="宋体" w:hAnsi="宋体" w:cs="宋体"/>
          <w:b/>
          <w:sz w:val="28"/>
          <w:szCs w:val="28"/>
        </w:rPr>
        <w:t>附件:磋商文件</w:t>
      </w:r>
    </w:p>
    <w:p w14:paraId="7AE2AA20">
      <w:pPr>
        <w:spacing w:line="500" w:lineRule="exact"/>
        <w:jc w:val="center"/>
        <w:rPr>
          <w:rFonts w:hint="eastAsia" w:ascii="宋体" w:hAnsi="宋体" w:cs="宋体"/>
          <w:sz w:val="36"/>
          <w:szCs w:val="36"/>
          <w:lang w:val="zh-CN"/>
        </w:rPr>
      </w:pPr>
      <w:r>
        <w:rPr>
          <w:rFonts w:hint="eastAsia" w:ascii="宋体" w:hAnsi="宋体" w:cs="宋体"/>
          <w:sz w:val="36"/>
          <w:szCs w:val="36"/>
          <w:lang w:val="zh-CN"/>
        </w:rPr>
        <w:br w:type="page" w:clear="all"/>
      </w:r>
      <w:r>
        <w:rPr>
          <w:rFonts w:hint="eastAsia" w:ascii="宋体" w:hAnsi="宋体" w:cs="宋体"/>
          <w:sz w:val="36"/>
          <w:szCs w:val="36"/>
          <w:lang w:val="zh-CN"/>
        </w:rPr>
        <w:t>第二部分 磋商须知</w:t>
      </w:r>
    </w:p>
    <w:p w14:paraId="7F9F5C6D">
      <w:pPr>
        <w:keepNext/>
        <w:keepLines/>
        <w:spacing w:line="500" w:lineRule="exact"/>
        <w:outlineLvl w:val="2"/>
        <w:rPr>
          <w:rFonts w:hint="eastAsia" w:ascii="宋体" w:hAnsi="宋体" w:cs="宋体"/>
          <w:b/>
          <w:bCs/>
          <w:sz w:val="28"/>
          <w:szCs w:val="28"/>
        </w:rPr>
      </w:pPr>
      <w:bookmarkStart w:id="0" w:name="_Toc120614214"/>
      <w:bookmarkStart w:id="1" w:name="_Toc513029203"/>
      <w:bookmarkStart w:id="2" w:name="_Toc16938519"/>
      <w:bookmarkStart w:id="3" w:name="_Toc20823275"/>
      <w:r>
        <w:rPr>
          <w:rFonts w:hint="eastAsia" w:ascii="宋体" w:hAnsi="宋体" w:cs="宋体"/>
          <w:b/>
          <w:bCs/>
          <w:sz w:val="28"/>
          <w:szCs w:val="28"/>
        </w:rPr>
        <w:t>（一）总则</w:t>
      </w:r>
      <w:bookmarkEnd w:id="0"/>
      <w:bookmarkEnd w:id="1"/>
      <w:bookmarkEnd w:id="2"/>
      <w:bookmarkEnd w:id="3"/>
    </w:p>
    <w:p w14:paraId="50A60C47">
      <w:pPr>
        <w:keepNext/>
        <w:spacing w:line="500" w:lineRule="exact"/>
        <w:outlineLvl w:val="3"/>
        <w:rPr>
          <w:rFonts w:hint="eastAsia" w:ascii="宋体" w:hAnsi="宋体" w:cs="宋体"/>
          <w:b/>
          <w:bCs/>
          <w:sz w:val="28"/>
          <w:szCs w:val="28"/>
        </w:rPr>
      </w:pPr>
      <w:bookmarkStart w:id="4" w:name="_Hlt16619475"/>
      <w:bookmarkEnd w:id="4"/>
      <w:bookmarkStart w:id="5" w:name="_Toc458694821"/>
      <w:bookmarkStart w:id="6" w:name="_Toc20823276"/>
      <w:bookmarkStart w:id="7" w:name="_Toc16938520"/>
      <w:bookmarkStart w:id="8" w:name="_Toc513029204"/>
      <w:r>
        <w:rPr>
          <w:rFonts w:hint="eastAsia" w:ascii="宋体" w:hAnsi="宋体" w:cs="宋体"/>
          <w:sz w:val="28"/>
          <w:szCs w:val="28"/>
        </w:rPr>
        <w:t>1</w:t>
      </w:r>
      <w:bookmarkEnd w:id="5"/>
      <w:r>
        <w:rPr>
          <w:rFonts w:hint="eastAsia" w:ascii="宋体" w:hAnsi="宋体" w:cs="宋体"/>
          <w:sz w:val="28"/>
          <w:szCs w:val="28"/>
        </w:rPr>
        <w:t>.采购方式</w:t>
      </w:r>
      <w:bookmarkEnd w:id="6"/>
      <w:bookmarkEnd w:id="7"/>
      <w:bookmarkEnd w:id="8"/>
    </w:p>
    <w:p w14:paraId="75C23908">
      <w:pPr>
        <w:spacing w:line="500" w:lineRule="exact"/>
        <w:ind w:firstLine="560"/>
        <w:rPr>
          <w:rFonts w:hint="eastAsia" w:ascii="宋体" w:hAnsi="宋体" w:cs="宋体"/>
          <w:sz w:val="28"/>
          <w:szCs w:val="28"/>
        </w:rPr>
      </w:pPr>
      <w:r>
        <w:rPr>
          <w:rFonts w:hint="eastAsia" w:ascii="宋体" w:hAnsi="宋体" w:cs="宋体"/>
          <w:sz w:val="28"/>
          <w:szCs w:val="28"/>
        </w:rPr>
        <w:t>1.1本次采取竞争性磋商方式，本磋商文件仅适用于磋商公告中所述项目。</w:t>
      </w:r>
    </w:p>
    <w:p w14:paraId="22F8577D">
      <w:pPr>
        <w:keepNext/>
        <w:spacing w:line="500" w:lineRule="exact"/>
        <w:outlineLvl w:val="3"/>
        <w:rPr>
          <w:rFonts w:hint="eastAsia" w:ascii="宋体" w:hAnsi="宋体" w:cs="宋体"/>
          <w:b/>
          <w:bCs/>
          <w:sz w:val="28"/>
          <w:szCs w:val="28"/>
        </w:rPr>
      </w:pPr>
      <w:bookmarkStart w:id="9" w:name="_Toc16938521"/>
      <w:bookmarkStart w:id="10" w:name="_Toc513029205"/>
      <w:bookmarkStart w:id="11" w:name="_Toc20823277"/>
      <w:r>
        <w:rPr>
          <w:rFonts w:hint="eastAsia" w:ascii="宋体" w:hAnsi="宋体" w:cs="宋体"/>
          <w:sz w:val="28"/>
          <w:szCs w:val="28"/>
        </w:rPr>
        <w:t>2.合格的</w:t>
      </w:r>
      <w:bookmarkEnd w:id="9"/>
      <w:bookmarkEnd w:id="10"/>
      <w:bookmarkEnd w:id="11"/>
      <w:r>
        <w:rPr>
          <w:rFonts w:hint="eastAsia" w:ascii="宋体" w:hAnsi="宋体" w:cs="宋体"/>
          <w:sz w:val="28"/>
          <w:szCs w:val="28"/>
        </w:rPr>
        <w:t>供应商</w:t>
      </w:r>
    </w:p>
    <w:p w14:paraId="096B4237">
      <w:pPr>
        <w:spacing w:line="500" w:lineRule="exact"/>
        <w:ind w:firstLine="560"/>
        <w:rPr>
          <w:rFonts w:hint="eastAsia" w:ascii="宋体" w:hAnsi="宋体" w:cs="宋体"/>
          <w:sz w:val="28"/>
          <w:szCs w:val="28"/>
        </w:rPr>
      </w:pPr>
      <w:r>
        <w:rPr>
          <w:rFonts w:hint="eastAsia" w:ascii="宋体" w:hAnsi="宋体" w:cs="宋体"/>
          <w:sz w:val="28"/>
          <w:szCs w:val="28"/>
        </w:rPr>
        <w:t>2.1满足磋商公告中供应商的资格要求的规定。</w:t>
      </w:r>
    </w:p>
    <w:p w14:paraId="2940EC80">
      <w:pPr>
        <w:spacing w:line="500" w:lineRule="exact"/>
        <w:ind w:firstLine="560"/>
        <w:rPr>
          <w:rFonts w:hint="eastAsia" w:ascii="宋体" w:hAnsi="宋体" w:cs="宋体"/>
          <w:sz w:val="28"/>
          <w:szCs w:val="28"/>
        </w:rPr>
      </w:pPr>
      <w:r>
        <w:rPr>
          <w:rFonts w:hint="eastAsia" w:ascii="宋体" w:hAnsi="宋体" w:cs="宋体"/>
          <w:sz w:val="28"/>
          <w:szCs w:val="28"/>
        </w:rPr>
        <w:t>2.2满足本文件实质性条款的规定。</w:t>
      </w:r>
    </w:p>
    <w:p w14:paraId="714E812A">
      <w:pPr>
        <w:keepNext/>
        <w:spacing w:line="500" w:lineRule="exact"/>
        <w:outlineLvl w:val="3"/>
        <w:rPr>
          <w:rFonts w:hint="eastAsia" w:ascii="宋体" w:hAnsi="宋体" w:cs="宋体"/>
          <w:b/>
          <w:bCs/>
          <w:sz w:val="28"/>
          <w:szCs w:val="28"/>
        </w:rPr>
      </w:pPr>
      <w:bookmarkStart w:id="12" w:name="_Toc20823278"/>
      <w:bookmarkStart w:id="13" w:name="_Toc513029206"/>
      <w:bookmarkStart w:id="14" w:name="_Toc16938522"/>
      <w:r>
        <w:rPr>
          <w:rFonts w:hint="eastAsia" w:ascii="宋体" w:hAnsi="宋体" w:cs="宋体"/>
          <w:sz w:val="28"/>
          <w:szCs w:val="28"/>
        </w:rPr>
        <w:t>3.适用法律</w:t>
      </w:r>
      <w:bookmarkEnd w:id="12"/>
      <w:bookmarkEnd w:id="13"/>
      <w:bookmarkEnd w:id="14"/>
    </w:p>
    <w:p w14:paraId="04F90A99">
      <w:pPr>
        <w:spacing w:line="500" w:lineRule="exact"/>
        <w:ind w:firstLine="490"/>
        <w:rPr>
          <w:rFonts w:hint="eastAsia" w:ascii="宋体" w:hAnsi="宋体" w:cs="宋体"/>
          <w:sz w:val="28"/>
          <w:szCs w:val="28"/>
        </w:rPr>
      </w:pPr>
      <w:r>
        <w:rPr>
          <w:rFonts w:hint="eastAsia" w:ascii="宋体" w:hAnsi="宋体" w:cs="宋体"/>
          <w:sz w:val="28"/>
          <w:szCs w:val="28"/>
        </w:rPr>
        <w:t>3.1本次采购及由此产生的合同受中华人民共和国有关的法律法规制约和保护。</w:t>
      </w:r>
    </w:p>
    <w:p w14:paraId="4FE91A50">
      <w:pPr>
        <w:keepNext/>
        <w:spacing w:line="500" w:lineRule="exact"/>
        <w:outlineLvl w:val="3"/>
        <w:rPr>
          <w:rFonts w:hint="eastAsia" w:ascii="宋体" w:hAnsi="宋体" w:cs="宋体"/>
          <w:b/>
          <w:bCs/>
          <w:sz w:val="28"/>
          <w:szCs w:val="28"/>
        </w:rPr>
      </w:pPr>
      <w:bookmarkStart w:id="15" w:name="_Toc462564067"/>
      <w:bookmarkStart w:id="16" w:name="_Toc513029207"/>
      <w:bookmarkStart w:id="17" w:name="_Toc20823279"/>
      <w:bookmarkStart w:id="18" w:name="_Toc16938523"/>
      <w:r>
        <w:rPr>
          <w:rFonts w:hint="eastAsia" w:ascii="宋体" w:hAnsi="宋体" w:cs="宋体"/>
          <w:sz w:val="28"/>
          <w:szCs w:val="28"/>
        </w:rPr>
        <w:t>4.磋商费用</w:t>
      </w:r>
      <w:bookmarkEnd w:id="15"/>
      <w:bookmarkEnd w:id="16"/>
      <w:bookmarkEnd w:id="17"/>
      <w:bookmarkEnd w:id="18"/>
    </w:p>
    <w:p w14:paraId="0C347769">
      <w:pPr>
        <w:spacing w:line="500" w:lineRule="exact"/>
        <w:ind w:firstLine="560"/>
        <w:rPr>
          <w:rFonts w:hint="eastAsia" w:ascii="宋体" w:hAnsi="宋体" w:cs="宋体"/>
          <w:sz w:val="28"/>
          <w:szCs w:val="28"/>
        </w:rPr>
      </w:pPr>
      <w:r>
        <w:rPr>
          <w:rFonts w:hint="eastAsia" w:ascii="宋体" w:hAnsi="宋体" w:cs="宋体"/>
          <w:bCs/>
          <w:sz w:val="28"/>
          <w:szCs w:val="28"/>
        </w:rPr>
        <w:t>4.1</w:t>
      </w:r>
      <w:r>
        <w:rPr>
          <w:rFonts w:hint="eastAsia" w:ascii="宋体" w:hAnsi="宋体" w:cs="宋体"/>
          <w:sz w:val="28"/>
          <w:szCs w:val="28"/>
        </w:rPr>
        <w:t>供应商应自行承担所有与参加磋商有关的费用，无论磋商过程中的做法和结果如何，采购人在任何情况下均无义务和责任承担这些费用。</w:t>
      </w:r>
    </w:p>
    <w:p w14:paraId="71A22A43">
      <w:pPr>
        <w:keepNext/>
        <w:spacing w:line="500" w:lineRule="exact"/>
        <w:outlineLvl w:val="3"/>
        <w:rPr>
          <w:rFonts w:hint="eastAsia" w:ascii="宋体" w:hAnsi="宋体" w:cs="宋体"/>
          <w:b/>
          <w:bCs/>
          <w:sz w:val="28"/>
          <w:szCs w:val="28"/>
        </w:rPr>
      </w:pPr>
      <w:r>
        <w:rPr>
          <w:rFonts w:hint="eastAsia" w:ascii="宋体" w:hAnsi="宋体" w:cs="宋体"/>
          <w:sz w:val="28"/>
          <w:szCs w:val="28"/>
        </w:rPr>
        <w:t>5.磋商文件的约束力</w:t>
      </w:r>
    </w:p>
    <w:p w14:paraId="24F60C3B">
      <w:pPr>
        <w:spacing w:line="500" w:lineRule="exact"/>
        <w:ind w:firstLine="560"/>
        <w:rPr>
          <w:rFonts w:hint="eastAsia" w:ascii="宋体" w:hAnsi="宋体" w:cs="宋体"/>
          <w:sz w:val="28"/>
          <w:szCs w:val="28"/>
        </w:rPr>
      </w:pPr>
      <w:r>
        <w:rPr>
          <w:rFonts w:hint="eastAsia" w:ascii="宋体" w:hAnsi="宋体" w:cs="宋体"/>
          <w:bCs/>
          <w:sz w:val="28"/>
          <w:szCs w:val="28"/>
        </w:rPr>
        <w:t>5.1</w:t>
      </w:r>
      <w:r>
        <w:rPr>
          <w:rFonts w:hint="eastAsia" w:ascii="宋体" w:hAnsi="宋体" w:cs="宋体"/>
          <w:sz w:val="28"/>
          <w:szCs w:val="28"/>
        </w:rPr>
        <w:t>供应商一旦参加本项目采购活动，即被认为接受了本磋商文件的规定和约束。</w:t>
      </w:r>
    </w:p>
    <w:p w14:paraId="335C6C15">
      <w:pPr>
        <w:keepNext/>
        <w:spacing w:line="500" w:lineRule="exact"/>
        <w:outlineLvl w:val="3"/>
        <w:rPr>
          <w:rFonts w:hint="eastAsia" w:ascii="宋体" w:hAnsi="宋体" w:cs="宋体"/>
          <w:sz w:val="28"/>
          <w:szCs w:val="28"/>
        </w:rPr>
      </w:pPr>
      <w:r>
        <w:rPr>
          <w:rFonts w:hint="eastAsia" w:ascii="宋体" w:hAnsi="宋体" w:cs="宋体"/>
          <w:sz w:val="28"/>
          <w:szCs w:val="28"/>
        </w:rPr>
        <w:t>6.磋商文件的解释</w:t>
      </w:r>
    </w:p>
    <w:p w14:paraId="57D1405C">
      <w:pPr>
        <w:spacing w:line="500" w:lineRule="exact"/>
        <w:ind w:firstLine="560"/>
        <w:rPr>
          <w:rFonts w:hint="eastAsia" w:ascii="宋体" w:hAnsi="宋体" w:cs="宋体"/>
          <w:color w:val="FF0000"/>
          <w:sz w:val="28"/>
          <w:szCs w:val="28"/>
        </w:rPr>
      </w:pPr>
      <w:r>
        <w:rPr>
          <w:rFonts w:hint="eastAsia" w:ascii="宋体" w:hAnsi="宋体" w:cs="宋体"/>
          <w:bCs/>
          <w:sz w:val="28"/>
          <w:szCs w:val="28"/>
        </w:rPr>
        <w:t>6.1</w:t>
      </w:r>
      <w:r>
        <w:rPr>
          <w:rFonts w:hint="eastAsia" w:ascii="宋体" w:hAnsi="宋体" w:cs="宋体"/>
          <w:sz w:val="28"/>
          <w:szCs w:val="28"/>
        </w:rPr>
        <w:t>磋商文件需求部分（供应商资格要求、项目需求、商务技术评分标准）由采购人解释。</w:t>
      </w:r>
    </w:p>
    <w:p w14:paraId="4C696AAE">
      <w:pPr>
        <w:keepNext/>
        <w:keepLines/>
        <w:spacing w:line="500" w:lineRule="exact"/>
        <w:outlineLvl w:val="2"/>
        <w:rPr>
          <w:rFonts w:hint="eastAsia" w:ascii="宋体" w:hAnsi="宋体" w:cs="宋体"/>
          <w:b/>
          <w:bCs/>
          <w:sz w:val="28"/>
          <w:szCs w:val="28"/>
        </w:rPr>
      </w:pPr>
      <w:bookmarkStart w:id="19" w:name="_Toc16938525"/>
      <w:bookmarkStart w:id="20" w:name="_Toc120614215"/>
      <w:bookmarkStart w:id="21" w:name="_Toc20823281"/>
      <w:bookmarkStart w:id="22" w:name="_Toc513029209"/>
      <w:r>
        <w:rPr>
          <w:rFonts w:hint="eastAsia" w:ascii="宋体" w:hAnsi="宋体" w:cs="宋体"/>
          <w:b/>
          <w:bCs/>
          <w:sz w:val="28"/>
          <w:szCs w:val="28"/>
        </w:rPr>
        <w:t>（二）磋商文件</w:t>
      </w:r>
      <w:bookmarkEnd w:id="19"/>
      <w:bookmarkEnd w:id="20"/>
      <w:bookmarkEnd w:id="21"/>
      <w:bookmarkEnd w:id="22"/>
    </w:p>
    <w:p w14:paraId="5367D9F3">
      <w:pPr>
        <w:keepNext/>
        <w:spacing w:line="500" w:lineRule="exact"/>
        <w:outlineLvl w:val="3"/>
        <w:rPr>
          <w:rFonts w:hint="eastAsia" w:ascii="宋体" w:hAnsi="宋体" w:cs="宋体"/>
          <w:b/>
          <w:bCs/>
          <w:sz w:val="28"/>
          <w:szCs w:val="28"/>
        </w:rPr>
      </w:pPr>
      <w:bookmarkStart w:id="23" w:name="_Toc20823282"/>
      <w:bookmarkStart w:id="24" w:name="_Toc513029210"/>
      <w:bookmarkStart w:id="25" w:name="_Toc16938526"/>
      <w:r>
        <w:rPr>
          <w:rFonts w:hint="eastAsia" w:ascii="宋体" w:hAnsi="宋体" w:cs="宋体"/>
          <w:sz w:val="28"/>
          <w:szCs w:val="28"/>
        </w:rPr>
        <w:t>1.磋商文件构成</w:t>
      </w:r>
      <w:bookmarkEnd w:id="23"/>
      <w:bookmarkEnd w:id="24"/>
      <w:bookmarkEnd w:id="25"/>
    </w:p>
    <w:p w14:paraId="709658FA">
      <w:pPr>
        <w:spacing w:line="500" w:lineRule="exact"/>
        <w:ind w:firstLine="560"/>
        <w:rPr>
          <w:rFonts w:hint="eastAsia" w:ascii="宋体" w:hAnsi="宋体" w:cs="宋体"/>
          <w:sz w:val="28"/>
          <w:szCs w:val="28"/>
        </w:rPr>
      </w:pPr>
      <w:r>
        <w:rPr>
          <w:rFonts w:hint="eastAsia" w:ascii="宋体" w:hAnsi="宋体" w:cs="宋体"/>
          <w:bCs/>
          <w:sz w:val="28"/>
          <w:szCs w:val="28"/>
        </w:rPr>
        <w:t>1.1</w:t>
      </w:r>
      <w:r>
        <w:rPr>
          <w:rFonts w:hint="eastAsia" w:ascii="宋体" w:hAnsi="宋体" w:cs="宋体"/>
          <w:sz w:val="28"/>
          <w:szCs w:val="28"/>
        </w:rPr>
        <w:t>磋商文件由以下部分组成：</w:t>
      </w:r>
    </w:p>
    <w:p w14:paraId="1A638BF2">
      <w:pPr>
        <w:spacing w:line="500" w:lineRule="exact"/>
        <w:ind w:firstLine="420"/>
        <w:rPr>
          <w:rFonts w:hint="eastAsia" w:ascii="宋体" w:hAnsi="宋体" w:cs="宋体"/>
          <w:sz w:val="28"/>
          <w:szCs w:val="28"/>
        </w:rPr>
      </w:pPr>
      <w:r>
        <w:rPr>
          <w:rFonts w:hint="eastAsia" w:ascii="宋体" w:hAnsi="宋体" w:cs="宋体"/>
          <w:sz w:val="28"/>
          <w:szCs w:val="28"/>
        </w:rPr>
        <w:t>（1）采购邀请</w:t>
      </w:r>
    </w:p>
    <w:p w14:paraId="2CC49603">
      <w:pPr>
        <w:spacing w:line="500" w:lineRule="exact"/>
        <w:ind w:firstLine="420"/>
        <w:rPr>
          <w:rFonts w:hint="eastAsia" w:ascii="宋体" w:hAnsi="宋体" w:cs="宋体"/>
          <w:sz w:val="28"/>
          <w:szCs w:val="28"/>
        </w:rPr>
      </w:pPr>
      <w:r>
        <w:rPr>
          <w:rFonts w:hint="eastAsia" w:ascii="宋体" w:hAnsi="宋体" w:cs="宋体"/>
          <w:sz w:val="28"/>
          <w:szCs w:val="28"/>
        </w:rPr>
        <w:t>（2）磋商须知</w:t>
      </w:r>
    </w:p>
    <w:p w14:paraId="0A63AE82">
      <w:pPr>
        <w:spacing w:line="500" w:lineRule="exact"/>
        <w:ind w:firstLine="420"/>
        <w:rPr>
          <w:rFonts w:hint="eastAsia" w:ascii="宋体" w:hAnsi="宋体" w:cs="宋体"/>
          <w:sz w:val="28"/>
          <w:szCs w:val="28"/>
        </w:rPr>
      </w:pPr>
      <w:r>
        <w:rPr>
          <w:rFonts w:hint="eastAsia" w:ascii="宋体" w:hAnsi="宋体" w:cs="宋体"/>
          <w:sz w:val="28"/>
          <w:szCs w:val="28"/>
        </w:rPr>
        <w:t>（3）项目需求</w:t>
      </w:r>
    </w:p>
    <w:p w14:paraId="6D1AFC2E">
      <w:pPr>
        <w:spacing w:line="500" w:lineRule="exact"/>
        <w:ind w:firstLine="420"/>
        <w:rPr>
          <w:rFonts w:hint="eastAsia" w:ascii="宋体" w:hAnsi="宋体" w:cs="宋体"/>
          <w:sz w:val="28"/>
          <w:szCs w:val="28"/>
        </w:rPr>
      </w:pPr>
      <w:r>
        <w:rPr>
          <w:rFonts w:hint="eastAsia" w:ascii="宋体" w:hAnsi="宋体" w:cs="宋体"/>
          <w:sz w:val="28"/>
          <w:szCs w:val="28"/>
        </w:rPr>
        <w:t>（4）评审方法和评审标准</w:t>
      </w:r>
    </w:p>
    <w:p w14:paraId="2809A19A">
      <w:pPr>
        <w:spacing w:line="500" w:lineRule="exact"/>
        <w:ind w:firstLine="420"/>
        <w:rPr>
          <w:rFonts w:hint="eastAsia" w:ascii="宋体" w:hAnsi="宋体" w:cs="宋体"/>
          <w:sz w:val="28"/>
          <w:szCs w:val="28"/>
        </w:rPr>
      </w:pPr>
      <w:r>
        <w:rPr>
          <w:rFonts w:hint="eastAsia" w:ascii="宋体" w:hAnsi="宋体" w:cs="宋体"/>
          <w:sz w:val="28"/>
          <w:szCs w:val="28"/>
        </w:rPr>
        <w:t>（5）响应文件组成</w:t>
      </w:r>
    </w:p>
    <w:p w14:paraId="0574721C">
      <w:pPr>
        <w:spacing w:line="500" w:lineRule="exact"/>
        <w:ind w:firstLine="420"/>
        <w:rPr>
          <w:rFonts w:hint="eastAsia" w:ascii="宋体" w:hAnsi="宋体" w:cs="宋体"/>
          <w:sz w:val="28"/>
          <w:szCs w:val="28"/>
        </w:rPr>
      </w:pPr>
      <w:r>
        <w:rPr>
          <w:rFonts w:hint="eastAsia" w:ascii="宋体" w:hAnsi="宋体" w:cs="宋体"/>
          <w:sz w:val="28"/>
          <w:szCs w:val="28"/>
        </w:rPr>
        <w:t>（6）附件</w:t>
      </w:r>
    </w:p>
    <w:p w14:paraId="2A81FBFF">
      <w:pPr>
        <w:spacing w:line="500" w:lineRule="exact"/>
        <w:ind w:firstLine="560"/>
        <w:rPr>
          <w:rFonts w:hint="eastAsia" w:ascii="宋体" w:hAnsi="宋体" w:cs="宋体"/>
          <w:sz w:val="28"/>
          <w:szCs w:val="28"/>
        </w:rPr>
      </w:pPr>
      <w:r>
        <w:rPr>
          <w:rFonts w:hint="eastAsia" w:ascii="宋体" w:hAnsi="宋体" w:cs="宋体"/>
          <w:sz w:val="28"/>
          <w:szCs w:val="28"/>
        </w:rPr>
        <w:t>请仔细检查磋商文件是否齐全，如有缺漏请立即与采购人联系解决。</w:t>
      </w:r>
    </w:p>
    <w:p w14:paraId="09BD8A6F">
      <w:pPr>
        <w:spacing w:line="500" w:lineRule="exact"/>
        <w:ind w:firstLine="560"/>
        <w:rPr>
          <w:rFonts w:hint="eastAsia" w:ascii="宋体" w:hAnsi="宋体" w:cs="宋体"/>
          <w:sz w:val="28"/>
          <w:szCs w:val="28"/>
        </w:rPr>
      </w:pPr>
      <w:r>
        <w:rPr>
          <w:rFonts w:hint="eastAsia" w:ascii="宋体" w:hAnsi="宋体" w:cs="宋体"/>
          <w:bCs/>
          <w:sz w:val="28"/>
          <w:szCs w:val="28"/>
        </w:rPr>
        <w:t>1.2</w:t>
      </w:r>
      <w:r>
        <w:rPr>
          <w:rFonts w:hint="eastAsia" w:ascii="宋体" w:hAnsi="宋体" w:cs="宋体"/>
          <w:sz w:val="28"/>
          <w:szCs w:val="28"/>
        </w:rPr>
        <w:t>供应商应认真阅读磋商文件中所有的事项、格式、条款和规范等要求。按磋商文件要求和规定编制响应文件，并保证所提供的全部资料的真实性，以使其响应文件对磋商文件作出实质性响应，否则其风险由供应商自行承担。</w:t>
      </w:r>
    </w:p>
    <w:p w14:paraId="48E99BF8">
      <w:pPr>
        <w:keepNext/>
        <w:spacing w:line="500" w:lineRule="exact"/>
        <w:outlineLvl w:val="3"/>
        <w:rPr>
          <w:rFonts w:hint="eastAsia" w:ascii="宋体" w:hAnsi="宋体" w:cs="宋体"/>
          <w:b/>
          <w:bCs/>
          <w:sz w:val="28"/>
          <w:szCs w:val="28"/>
        </w:rPr>
      </w:pPr>
      <w:bookmarkStart w:id="26" w:name="_Toc462564070"/>
      <w:bookmarkStart w:id="27" w:name="_Toc20823283"/>
      <w:bookmarkStart w:id="28" w:name="_Toc16938527"/>
      <w:bookmarkStart w:id="29" w:name="_Toc513029211"/>
      <w:r>
        <w:rPr>
          <w:rFonts w:hint="eastAsia" w:ascii="宋体" w:hAnsi="宋体" w:cs="宋体"/>
          <w:sz w:val="28"/>
          <w:szCs w:val="28"/>
        </w:rPr>
        <w:t>2.磋商文件的澄清</w:t>
      </w:r>
      <w:bookmarkEnd w:id="26"/>
      <w:bookmarkEnd w:id="27"/>
      <w:bookmarkEnd w:id="28"/>
      <w:bookmarkEnd w:id="29"/>
    </w:p>
    <w:p w14:paraId="08960D30">
      <w:pPr>
        <w:spacing w:line="500" w:lineRule="exact"/>
        <w:ind w:firstLine="560"/>
        <w:rPr>
          <w:rFonts w:hint="eastAsia" w:ascii="宋体" w:hAnsi="宋体" w:cs="宋体"/>
          <w:sz w:val="28"/>
          <w:szCs w:val="28"/>
        </w:rPr>
      </w:pPr>
      <w:r>
        <w:rPr>
          <w:rFonts w:hint="eastAsia" w:ascii="宋体" w:hAnsi="宋体" w:cs="宋体"/>
          <w:bCs/>
          <w:sz w:val="28"/>
          <w:szCs w:val="28"/>
        </w:rPr>
        <w:t>2.1</w:t>
      </w:r>
      <w:r>
        <w:rPr>
          <w:rFonts w:hint="eastAsia" w:ascii="宋体" w:hAnsi="宋体" w:cs="宋体"/>
          <w:sz w:val="28"/>
          <w:szCs w:val="28"/>
        </w:rPr>
        <w:t>任何要求对磋商文件进行澄清的供应商，应在提交首次响应文件截止时间五日前按磋商公告中的通讯地址，以书面形式通知采购人。采购人有权对发出的磋商文件进行必要的澄清或修改。</w:t>
      </w:r>
    </w:p>
    <w:p w14:paraId="122D47A7">
      <w:pPr>
        <w:spacing w:line="500" w:lineRule="exact"/>
        <w:ind w:firstLine="560"/>
        <w:rPr>
          <w:rFonts w:hint="eastAsia" w:ascii="宋体" w:hAnsi="宋体" w:cs="宋体"/>
          <w:sz w:val="28"/>
          <w:szCs w:val="28"/>
        </w:rPr>
      </w:pPr>
      <w:r>
        <w:rPr>
          <w:rFonts w:hint="eastAsia" w:ascii="宋体" w:hAnsi="宋体" w:cs="宋体"/>
          <w:sz w:val="28"/>
          <w:szCs w:val="28"/>
        </w:rPr>
        <w:t>2.2采购人视情组织答疑会</w:t>
      </w:r>
    </w:p>
    <w:p w14:paraId="15655577">
      <w:pPr>
        <w:keepNext/>
        <w:spacing w:line="500" w:lineRule="exact"/>
        <w:outlineLvl w:val="3"/>
        <w:rPr>
          <w:rFonts w:hint="eastAsia" w:ascii="宋体" w:hAnsi="宋体" w:cs="宋体"/>
          <w:b/>
          <w:bCs/>
          <w:sz w:val="28"/>
          <w:szCs w:val="28"/>
        </w:rPr>
      </w:pPr>
      <w:bookmarkStart w:id="30" w:name="_Toc513029212"/>
      <w:bookmarkStart w:id="31" w:name="_Toc20823284"/>
      <w:bookmarkStart w:id="32" w:name="_Toc462564071"/>
      <w:bookmarkStart w:id="33" w:name="_Toc16938528"/>
      <w:r>
        <w:rPr>
          <w:rFonts w:hint="eastAsia" w:ascii="宋体" w:hAnsi="宋体" w:cs="宋体"/>
          <w:sz w:val="28"/>
          <w:szCs w:val="28"/>
        </w:rPr>
        <w:t>3.磋商文件的修改</w:t>
      </w:r>
      <w:bookmarkEnd w:id="30"/>
      <w:bookmarkEnd w:id="31"/>
      <w:bookmarkEnd w:id="32"/>
      <w:bookmarkEnd w:id="33"/>
    </w:p>
    <w:p w14:paraId="1F33AECC">
      <w:pPr>
        <w:spacing w:line="500" w:lineRule="exact"/>
        <w:ind w:firstLine="560"/>
        <w:rPr>
          <w:rFonts w:hint="eastAsia" w:ascii="宋体" w:hAnsi="宋体" w:cs="宋体"/>
          <w:sz w:val="28"/>
          <w:szCs w:val="28"/>
        </w:rPr>
      </w:pPr>
      <w:r>
        <w:rPr>
          <w:rFonts w:hint="eastAsia" w:ascii="宋体" w:hAnsi="宋体" w:cs="宋体"/>
          <w:bCs/>
          <w:sz w:val="28"/>
          <w:szCs w:val="28"/>
        </w:rPr>
        <w:t>3.1</w:t>
      </w:r>
      <w:r>
        <w:rPr>
          <w:rFonts w:hint="eastAsia" w:ascii="宋体" w:hAnsi="宋体" w:cs="宋体"/>
          <w:sz w:val="28"/>
          <w:szCs w:val="28"/>
        </w:rPr>
        <w:t>在响应文件提交截止时间前，采购人可以对磋商文件进行修改。</w:t>
      </w:r>
    </w:p>
    <w:p w14:paraId="6877895C">
      <w:pPr>
        <w:spacing w:line="500" w:lineRule="exact"/>
        <w:ind w:firstLine="560"/>
        <w:rPr>
          <w:rFonts w:hint="eastAsia" w:ascii="宋体" w:hAnsi="宋体" w:cs="宋体"/>
          <w:sz w:val="28"/>
          <w:szCs w:val="28"/>
        </w:rPr>
      </w:pPr>
      <w:r>
        <w:rPr>
          <w:rFonts w:hint="eastAsia" w:ascii="宋体" w:hAnsi="宋体" w:cs="宋体"/>
          <w:bCs/>
          <w:sz w:val="28"/>
          <w:szCs w:val="28"/>
        </w:rPr>
        <w:t>3.2</w:t>
      </w:r>
      <w:r>
        <w:rPr>
          <w:rFonts w:hint="eastAsia" w:ascii="宋体" w:hAnsi="宋体" w:cs="宋体"/>
          <w:sz w:val="28"/>
          <w:szCs w:val="28"/>
        </w:rPr>
        <w:t>采购人有权按照法定的要求推迟响应文件提交截止日期和磋商日期。</w:t>
      </w:r>
    </w:p>
    <w:p w14:paraId="668E374B">
      <w:pPr>
        <w:spacing w:line="500" w:lineRule="exact"/>
        <w:ind w:firstLine="560"/>
        <w:rPr>
          <w:rFonts w:hint="eastAsia" w:ascii="宋体" w:hAnsi="宋体" w:cs="宋体"/>
          <w:sz w:val="28"/>
          <w:szCs w:val="28"/>
        </w:rPr>
      </w:pPr>
      <w:r>
        <w:rPr>
          <w:rFonts w:hint="eastAsia" w:ascii="宋体" w:hAnsi="宋体" w:cs="宋体"/>
          <w:bCs/>
          <w:sz w:val="28"/>
          <w:szCs w:val="28"/>
        </w:rPr>
        <w:t>3.3</w:t>
      </w:r>
      <w:r>
        <w:rPr>
          <w:rFonts w:hint="eastAsia" w:ascii="宋体" w:hAnsi="宋体" w:cs="宋体"/>
          <w:sz w:val="28"/>
          <w:szCs w:val="28"/>
        </w:rPr>
        <w:t>磋商文件的修改将在</w:t>
      </w:r>
      <w:r>
        <w:rPr>
          <w:rFonts w:hint="eastAsia" w:ascii="宋体" w:hAnsi="宋体" w:cs="宋体"/>
          <w:sz w:val="28"/>
          <w:szCs w:val="28"/>
          <w:lang w:val="en-US" w:eastAsia="zh-CN"/>
        </w:rPr>
        <w:t>启东市人民政府网</w:t>
      </w:r>
      <w:r>
        <w:rPr>
          <w:rFonts w:hint="eastAsia" w:ascii="宋体" w:hAnsi="宋体" w:cs="宋体"/>
          <w:sz w:val="28"/>
          <w:szCs w:val="28"/>
        </w:rPr>
        <w:t>公布，补充文件将作为磋商文件的组成部分，并对供应商具有约束力。</w:t>
      </w:r>
    </w:p>
    <w:p w14:paraId="3EB61D1A">
      <w:pPr>
        <w:keepNext/>
        <w:keepLines/>
        <w:spacing w:line="500" w:lineRule="exact"/>
        <w:outlineLvl w:val="2"/>
        <w:rPr>
          <w:rFonts w:hint="eastAsia" w:ascii="宋体" w:hAnsi="宋体" w:cs="宋体"/>
          <w:b/>
          <w:bCs/>
          <w:sz w:val="28"/>
          <w:szCs w:val="28"/>
        </w:rPr>
      </w:pPr>
      <w:bookmarkStart w:id="34" w:name="_Toc513029213"/>
      <w:bookmarkStart w:id="35" w:name="_Toc462564072"/>
      <w:bookmarkStart w:id="36" w:name="_Toc120614216"/>
      <w:bookmarkStart w:id="37" w:name="_Toc20823285"/>
      <w:bookmarkStart w:id="38" w:name="_Toc16938529"/>
      <w:r>
        <w:rPr>
          <w:rFonts w:hint="eastAsia" w:ascii="宋体" w:hAnsi="宋体" w:cs="宋体"/>
          <w:b/>
          <w:bCs/>
          <w:sz w:val="28"/>
          <w:szCs w:val="28"/>
        </w:rPr>
        <w:t>（三）响应文件的编制</w:t>
      </w:r>
      <w:bookmarkEnd w:id="34"/>
      <w:bookmarkEnd w:id="35"/>
      <w:bookmarkEnd w:id="36"/>
      <w:bookmarkEnd w:id="37"/>
      <w:bookmarkEnd w:id="38"/>
    </w:p>
    <w:p w14:paraId="7AE8D9E5">
      <w:pPr>
        <w:keepNext/>
        <w:spacing w:line="500" w:lineRule="exact"/>
        <w:outlineLvl w:val="3"/>
        <w:rPr>
          <w:rFonts w:hint="eastAsia" w:ascii="宋体" w:hAnsi="宋体" w:cs="宋体"/>
          <w:bCs/>
          <w:sz w:val="28"/>
          <w:szCs w:val="28"/>
        </w:rPr>
      </w:pPr>
      <w:bookmarkStart w:id="39" w:name="_Toc16938530"/>
      <w:bookmarkStart w:id="40" w:name="_Toc513029214"/>
      <w:bookmarkStart w:id="41" w:name="_Toc20823286"/>
      <w:bookmarkStart w:id="42" w:name="_Toc462564073"/>
      <w:r>
        <w:rPr>
          <w:rFonts w:hint="eastAsia" w:ascii="宋体" w:hAnsi="宋体" w:cs="宋体"/>
          <w:sz w:val="28"/>
          <w:szCs w:val="28"/>
        </w:rPr>
        <w:t>1.响应文件的语言及度量衡单位</w:t>
      </w:r>
      <w:bookmarkEnd w:id="39"/>
      <w:bookmarkEnd w:id="40"/>
      <w:bookmarkEnd w:id="41"/>
      <w:bookmarkEnd w:id="42"/>
    </w:p>
    <w:p w14:paraId="71C28982">
      <w:pPr>
        <w:spacing w:line="500" w:lineRule="exact"/>
        <w:ind w:firstLine="560"/>
        <w:rPr>
          <w:rFonts w:hint="eastAsia" w:ascii="宋体" w:hAnsi="宋体" w:cs="宋体"/>
          <w:sz w:val="28"/>
          <w:szCs w:val="28"/>
        </w:rPr>
      </w:pPr>
      <w:r>
        <w:rPr>
          <w:rFonts w:hint="eastAsia" w:ascii="宋体" w:hAnsi="宋体" w:cs="宋体"/>
          <w:bCs/>
          <w:sz w:val="28"/>
          <w:szCs w:val="28"/>
        </w:rPr>
        <w:t>1.1</w:t>
      </w:r>
      <w:r>
        <w:rPr>
          <w:rFonts w:hint="eastAsia" w:ascii="宋体" w:hAnsi="宋体" w:cs="宋体"/>
          <w:sz w:val="28"/>
          <w:szCs w:val="28"/>
        </w:rPr>
        <w:t>供应商提交的响应文件以及供应商与采购人就有关磋商的所有来往通知、函件和文件均应使用</w:t>
      </w:r>
      <w:r>
        <w:rPr>
          <w:rFonts w:hint="eastAsia" w:ascii="宋体" w:hAnsi="宋体" w:cs="宋体"/>
          <w:bCs/>
          <w:sz w:val="28"/>
          <w:szCs w:val="28"/>
        </w:rPr>
        <w:t>简体中文</w:t>
      </w:r>
      <w:r>
        <w:rPr>
          <w:rFonts w:hint="eastAsia" w:ascii="宋体" w:hAnsi="宋体" w:cs="宋体"/>
          <w:sz w:val="28"/>
          <w:szCs w:val="28"/>
        </w:rPr>
        <w:t>。</w:t>
      </w:r>
    </w:p>
    <w:p w14:paraId="1A1D1942">
      <w:pPr>
        <w:spacing w:line="500" w:lineRule="exact"/>
        <w:ind w:firstLine="560"/>
        <w:rPr>
          <w:rFonts w:hint="eastAsia" w:ascii="宋体" w:hAnsi="宋体" w:cs="宋体"/>
          <w:sz w:val="28"/>
          <w:szCs w:val="28"/>
        </w:rPr>
      </w:pPr>
      <w:r>
        <w:rPr>
          <w:rFonts w:hint="eastAsia" w:ascii="宋体" w:hAnsi="宋体" w:cs="宋体"/>
          <w:bCs/>
          <w:sz w:val="28"/>
          <w:szCs w:val="28"/>
        </w:rPr>
        <w:t>1.2</w:t>
      </w:r>
      <w:r>
        <w:rPr>
          <w:rFonts w:hint="eastAsia" w:ascii="宋体" w:hAnsi="宋体" w:cs="宋体"/>
          <w:sz w:val="28"/>
          <w:szCs w:val="28"/>
        </w:rPr>
        <w:t>除技术性能另有规定外，响应文件所使用的度量衡单位，均须采用国家法定计量单位。</w:t>
      </w:r>
    </w:p>
    <w:p w14:paraId="115261A2">
      <w:pPr>
        <w:keepNext/>
        <w:spacing w:line="500" w:lineRule="exact"/>
        <w:outlineLvl w:val="3"/>
        <w:rPr>
          <w:rFonts w:hint="eastAsia" w:ascii="宋体" w:hAnsi="宋体" w:cs="宋体"/>
          <w:b/>
          <w:bCs/>
          <w:sz w:val="28"/>
          <w:szCs w:val="28"/>
        </w:rPr>
      </w:pPr>
      <w:bookmarkStart w:id="43" w:name="_Toc16938531"/>
      <w:bookmarkStart w:id="44" w:name="_Toc20823287"/>
      <w:bookmarkStart w:id="45" w:name="_Toc513029215"/>
      <w:bookmarkStart w:id="46" w:name="_Toc462564074"/>
      <w:r>
        <w:rPr>
          <w:rFonts w:hint="eastAsia" w:ascii="宋体" w:hAnsi="宋体" w:cs="宋体"/>
          <w:sz w:val="28"/>
          <w:szCs w:val="28"/>
        </w:rPr>
        <w:t>2.响应文件构成</w:t>
      </w:r>
      <w:bookmarkEnd w:id="43"/>
      <w:bookmarkEnd w:id="44"/>
      <w:bookmarkEnd w:id="45"/>
      <w:bookmarkEnd w:id="46"/>
    </w:p>
    <w:p w14:paraId="5DDA29ED">
      <w:pPr>
        <w:spacing w:line="500" w:lineRule="exact"/>
        <w:ind w:firstLine="560"/>
        <w:rPr>
          <w:rFonts w:hint="eastAsia" w:ascii="宋体" w:hAnsi="宋体" w:cs="宋体"/>
          <w:sz w:val="28"/>
          <w:szCs w:val="28"/>
        </w:rPr>
      </w:pPr>
      <w:r>
        <w:rPr>
          <w:rFonts w:hint="eastAsia" w:ascii="宋体" w:hAnsi="宋体" w:cs="宋体"/>
          <w:bCs/>
          <w:sz w:val="28"/>
          <w:szCs w:val="28"/>
        </w:rPr>
        <w:t>2.1</w:t>
      </w:r>
      <w:r>
        <w:rPr>
          <w:rFonts w:hint="eastAsia" w:ascii="宋体" w:hAnsi="宋体" w:cs="宋体"/>
          <w:sz w:val="28"/>
          <w:szCs w:val="28"/>
        </w:rPr>
        <w:t>供应商编写的响应文件应包括资格审查证明材料文件、商务技术标文件、价格标文件。供应商按“第五部分 响应文件组成”要求编写响应文件。</w:t>
      </w:r>
    </w:p>
    <w:p w14:paraId="160CFACA">
      <w:pPr>
        <w:keepNext/>
        <w:spacing w:line="500" w:lineRule="exact"/>
        <w:outlineLvl w:val="3"/>
        <w:rPr>
          <w:rFonts w:hint="eastAsia" w:ascii="宋体" w:hAnsi="宋体" w:cs="宋体"/>
          <w:sz w:val="28"/>
          <w:szCs w:val="28"/>
        </w:rPr>
      </w:pPr>
      <w:r>
        <w:rPr>
          <w:rFonts w:hint="eastAsia" w:ascii="宋体" w:hAnsi="宋体" w:cs="宋体"/>
          <w:sz w:val="28"/>
          <w:szCs w:val="28"/>
        </w:rPr>
        <w:t>3.磋商响应文件的密封、签署、提交</w:t>
      </w:r>
    </w:p>
    <w:p w14:paraId="744A8A6D">
      <w:pPr>
        <w:spacing w:line="500" w:lineRule="exact"/>
        <w:ind w:firstLine="562"/>
        <w:rPr>
          <w:rFonts w:hint="eastAsia" w:ascii="宋体" w:hAnsi="宋体" w:cs="宋体"/>
          <w:b/>
          <w:bCs/>
          <w:sz w:val="28"/>
          <w:szCs w:val="28"/>
        </w:rPr>
      </w:pPr>
      <w:r>
        <w:rPr>
          <w:rFonts w:hint="eastAsia" w:ascii="宋体" w:hAnsi="宋体" w:cs="宋体"/>
          <w:b/>
          <w:bCs/>
          <w:sz w:val="28"/>
          <w:szCs w:val="28"/>
        </w:rPr>
        <w:t>3.1磋商响应文件必须提供1份正本</w:t>
      </w:r>
      <w:r>
        <w:rPr>
          <w:rFonts w:hint="eastAsia" w:ascii="宋体" w:hAnsi="宋体" w:cs="宋体"/>
          <w:b/>
          <w:bCs/>
          <w:sz w:val="28"/>
          <w:szCs w:val="28"/>
          <w:lang w:val="en-US" w:eastAsia="zh-CN"/>
        </w:rPr>
        <w:t>2</w:t>
      </w:r>
      <w:r>
        <w:rPr>
          <w:rFonts w:hint="eastAsia" w:ascii="宋体" w:hAnsi="宋体" w:cs="宋体"/>
          <w:b/>
          <w:bCs/>
          <w:sz w:val="28"/>
          <w:szCs w:val="28"/>
        </w:rPr>
        <w:t>份副本。</w:t>
      </w:r>
    </w:p>
    <w:p w14:paraId="1E00B7B7">
      <w:pPr>
        <w:spacing w:line="500" w:lineRule="exact"/>
        <w:ind w:firstLine="562"/>
        <w:rPr>
          <w:rFonts w:hint="default" w:ascii="宋体" w:hAnsi="宋体" w:eastAsia="宋体" w:cs="宋体"/>
          <w:b/>
          <w:bCs/>
          <w:sz w:val="28"/>
          <w:szCs w:val="28"/>
          <w:lang w:val="en-US" w:eastAsia="zh-CN"/>
        </w:rPr>
      </w:pPr>
      <w:r>
        <w:rPr>
          <w:rFonts w:hint="eastAsia" w:ascii="宋体" w:hAnsi="宋体" w:cs="宋体"/>
          <w:b/>
          <w:bCs/>
          <w:sz w:val="28"/>
          <w:szCs w:val="28"/>
          <w:lang w:val="en-US" w:eastAsia="zh-CN"/>
        </w:rPr>
        <w:t>3.2</w:t>
      </w:r>
      <w:r>
        <w:rPr>
          <w:rFonts w:hint="eastAsia" w:ascii="宋体" w:hAnsi="宋体" w:cs="宋体"/>
          <w:b/>
          <w:bCs/>
          <w:sz w:val="28"/>
          <w:szCs w:val="28"/>
        </w:rPr>
        <w:t>磋商响应文件</w:t>
      </w:r>
      <w:r>
        <w:rPr>
          <w:rFonts w:hint="eastAsia" w:ascii="宋体" w:hAnsi="宋体" w:cs="宋体"/>
          <w:b/>
          <w:bCs/>
          <w:sz w:val="28"/>
          <w:szCs w:val="28"/>
          <w:lang w:val="en-US" w:eastAsia="zh-CN"/>
        </w:rPr>
        <w:t>统一采用现场递交方式提交。</w:t>
      </w:r>
    </w:p>
    <w:p w14:paraId="3583BEDD">
      <w:pPr>
        <w:spacing w:line="500" w:lineRule="exact"/>
        <w:ind w:firstLine="562"/>
        <w:rPr>
          <w:rFonts w:hint="eastAsia" w:ascii="宋体" w:hAnsi="宋体" w:cs="宋体"/>
          <w:b/>
          <w:bCs/>
          <w:sz w:val="28"/>
          <w:szCs w:val="28"/>
        </w:rPr>
      </w:pPr>
      <w:r>
        <w:rPr>
          <w:rFonts w:hint="eastAsia" w:ascii="宋体" w:hAnsi="宋体" w:cs="宋体"/>
          <w:b/>
          <w:bCs/>
          <w:sz w:val="28"/>
          <w:szCs w:val="28"/>
        </w:rPr>
        <w:t>3.</w:t>
      </w:r>
      <w:r>
        <w:rPr>
          <w:rFonts w:hint="eastAsia" w:ascii="宋体" w:hAnsi="宋体" w:cs="宋体"/>
          <w:b/>
          <w:bCs/>
          <w:sz w:val="28"/>
          <w:szCs w:val="28"/>
          <w:lang w:val="en-US" w:eastAsia="zh-CN"/>
        </w:rPr>
        <w:t>3</w:t>
      </w:r>
      <w:r>
        <w:rPr>
          <w:rFonts w:hint="eastAsia" w:ascii="宋体" w:hAnsi="宋体" w:cs="宋体"/>
          <w:b/>
          <w:bCs/>
          <w:sz w:val="28"/>
          <w:szCs w:val="28"/>
        </w:rPr>
        <w:t>磋商响应文件均需采用A4纸（图纸等除外）打印并装订成册，不允许使用活页夹、拉杆夹、文件夹、塑料方便式书脊（插入式或穿孔式）装订，并应在磋商响应文件封面的右上角清楚地注明“正本”或“副本”。正本和副本如有不一致之处，以正本为准。</w:t>
      </w:r>
    </w:p>
    <w:p w14:paraId="24848C4C">
      <w:pPr>
        <w:spacing w:line="500" w:lineRule="exact"/>
        <w:ind w:firstLine="562"/>
        <w:rPr>
          <w:rFonts w:hint="eastAsia" w:ascii="宋体" w:hAnsi="宋体" w:cs="宋体"/>
          <w:b/>
          <w:bCs/>
          <w:sz w:val="28"/>
          <w:szCs w:val="28"/>
        </w:rPr>
      </w:pPr>
      <w:r>
        <w:rPr>
          <w:rFonts w:hint="eastAsia" w:ascii="宋体" w:hAnsi="宋体" w:cs="宋体"/>
          <w:b/>
          <w:bCs/>
          <w:sz w:val="28"/>
          <w:szCs w:val="28"/>
        </w:rPr>
        <w:t>3.</w:t>
      </w:r>
      <w:r>
        <w:rPr>
          <w:rFonts w:hint="eastAsia" w:ascii="宋体" w:hAnsi="宋体" w:cs="宋体"/>
          <w:b/>
          <w:bCs/>
          <w:sz w:val="28"/>
          <w:szCs w:val="28"/>
          <w:lang w:val="en-US" w:eastAsia="zh-CN"/>
        </w:rPr>
        <w:t>4</w:t>
      </w:r>
      <w:r>
        <w:rPr>
          <w:rFonts w:hint="eastAsia" w:ascii="宋体" w:hAnsi="宋体" w:cs="宋体"/>
          <w:b/>
          <w:bCs/>
          <w:sz w:val="28"/>
          <w:szCs w:val="28"/>
        </w:rPr>
        <w:t>供应商的磋商响应文件分三包密封，一包资格、资信证明文件、一包商务技术标、一包价格标（每包内含相应文件正副本）；投标人必须将资格、资信证明文件，商务技术标，价格标分开封装。</w:t>
      </w:r>
    </w:p>
    <w:p w14:paraId="3CBEE302">
      <w:pPr>
        <w:spacing w:line="500" w:lineRule="exact"/>
        <w:ind w:firstLine="562"/>
        <w:rPr>
          <w:rFonts w:hint="eastAsia" w:ascii="宋体" w:hAnsi="宋体" w:cs="宋体"/>
          <w:b/>
          <w:bCs/>
          <w:sz w:val="28"/>
          <w:szCs w:val="28"/>
        </w:rPr>
      </w:pPr>
      <w:r>
        <w:rPr>
          <w:rFonts w:hint="eastAsia" w:ascii="宋体" w:hAnsi="宋体" w:cs="宋体"/>
          <w:b/>
          <w:bCs/>
          <w:sz w:val="28"/>
          <w:szCs w:val="28"/>
        </w:rPr>
        <w:t>3.</w:t>
      </w:r>
      <w:r>
        <w:rPr>
          <w:rFonts w:hint="eastAsia" w:ascii="宋体" w:hAnsi="宋体" w:cs="宋体"/>
          <w:b/>
          <w:bCs/>
          <w:sz w:val="28"/>
          <w:szCs w:val="28"/>
          <w:lang w:val="en-US" w:eastAsia="zh-CN"/>
        </w:rPr>
        <w:t>5</w:t>
      </w:r>
      <w:r>
        <w:rPr>
          <w:rFonts w:hint="eastAsia" w:ascii="宋体" w:hAnsi="宋体" w:cs="宋体"/>
          <w:b/>
          <w:bCs/>
          <w:sz w:val="28"/>
          <w:szCs w:val="28"/>
        </w:rPr>
        <w:t>供应商应在磋商响应文件密封袋上标明：采购人名称、项目名称、供应商名称、磋商响应文件名称（如：“资格、资信证明文件”、“商务技术标”、“价格标”）。</w:t>
      </w:r>
    </w:p>
    <w:p w14:paraId="0A719C4C">
      <w:pPr>
        <w:spacing w:line="500" w:lineRule="exact"/>
        <w:ind w:firstLine="562"/>
        <w:rPr>
          <w:rFonts w:hint="eastAsia" w:ascii="宋体" w:hAnsi="宋体" w:cs="宋体"/>
          <w:b/>
          <w:bCs/>
          <w:sz w:val="28"/>
          <w:szCs w:val="28"/>
        </w:rPr>
      </w:pPr>
      <w:r>
        <w:rPr>
          <w:rFonts w:hint="eastAsia" w:ascii="宋体" w:hAnsi="宋体" w:cs="宋体"/>
          <w:b/>
          <w:bCs/>
          <w:sz w:val="28"/>
          <w:szCs w:val="28"/>
        </w:rPr>
        <w:t>3.</w:t>
      </w:r>
      <w:r>
        <w:rPr>
          <w:rFonts w:hint="eastAsia" w:ascii="宋体" w:hAnsi="宋体" w:cs="宋体"/>
          <w:b/>
          <w:bCs/>
          <w:sz w:val="28"/>
          <w:szCs w:val="28"/>
          <w:lang w:val="en-US" w:eastAsia="zh-CN"/>
        </w:rPr>
        <w:t>6</w:t>
      </w:r>
      <w:r>
        <w:rPr>
          <w:rFonts w:hint="eastAsia" w:ascii="宋体" w:hAnsi="宋体" w:cs="宋体"/>
          <w:b/>
          <w:bCs/>
          <w:sz w:val="28"/>
          <w:szCs w:val="28"/>
        </w:rPr>
        <w:t>所有磋商响应文件密封袋的封口处均应加盖供应商印章。</w:t>
      </w:r>
    </w:p>
    <w:p w14:paraId="63BAB4FF">
      <w:pPr>
        <w:spacing w:line="500" w:lineRule="exact"/>
        <w:ind w:firstLine="562"/>
        <w:rPr>
          <w:rFonts w:hint="default" w:ascii="宋体" w:hAnsi="宋体" w:eastAsia="宋体" w:cs="宋体"/>
          <w:b/>
          <w:bCs/>
          <w:sz w:val="28"/>
          <w:szCs w:val="28"/>
          <w:lang w:val="en-US" w:eastAsia="zh-CN"/>
        </w:rPr>
      </w:pPr>
      <w:r>
        <w:rPr>
          <w:rFonts w:hint="eastAsia" w:ascii="宋体" w:hAnsi="宋体" w:cs="宋体"/>
          <w:b/>
          <w:bCs/>
          <w:sz w:val="28"/>
          <w:szCs w:val="28"/>
          <w:lang w:val="en-US" w:eastAsia="zh-CN"/>
        </w:rPr>
        <w:t>3.7如果供应商未按上述要求装订密封及加写标记，将作无效磋商响应文件处理。</w:t>
      </w:r>
    </w:p>
    <w:p w14:paraId="2E334624">
      <w:pPr>
        <w:keepNext/>
        <w:spacing w:line="500" w:lineRule="exact"/>
        <w:outlineLvl w:val="3"/>
        <w:rPr>
          <w:rFonts w:hint="eastAsia" w:ascii="宋体" w:hAnsi="宋体" w:cs="宋体"/>
          <w:b/>
          <w:bCs/>
          <w:sz w:val="28"/>
          <w:szCs w:val="28"/>
        </w:rPr>
      </w:pPr>
      <w:r>
        <w:rPr>
          <w:rFonts w:hint="eastAsia" w:ascii="宋体" w:hAnsi="宋体" w:cs="宋体"/>
          <w:b/>
          <w:bCs/>
          <w:sz w:val="28"/>
          <w:szCs w:val="28"/>
        </w:rPr>
        <w:t>4.磋商响应文件的盖章要求</w:t>
      </w:r>
    </w:p>
    <w:p w14:paraId="50EA8CDB">
      <w:pPr>
        <w:spacing w:line="500" w:lineRule="exact"/>
        <w:ind w:firstLine="562"/>
        <w:rPr>
          <w:rFonts w:hint="eastAsia" w:ascii="宋体" w:hAnsi="宋体" w:cs="宋体"/>
          <w:b/>
          <w:bCs/>
          <w:sz w:val="28"/>
          <w:szCs w:val="28"/>
        </w:rPr>
      </w:pPr>
      <w:r>
        <w:rPr>
          <w:rFonts w:hint="eastAsia" w:ascii="宋体" w:hAnsi="宋体" w:cs="宋体"/>
          <w:b/>
          <w:bCs/>
          <w:sz w:val="28"/>
          <w:szCs w:val="28"/>
        </w:rPr>
        <w:t>4.1磋商响应文件必须加盖骑缝章或每页盖章。</w:t>
      </w:r>
    </w:p>
    <w:p w14:paraId="698D3CCB">
      <w:pPr>
        <w:spacing w:line="500" w:lineRule="exact"/>
        <w:ind w:firstLine="562"/>
        <w:rPr>
          <w:rFonts w:hint="eastAsia" w:ascii="宋体" w:hAnsi="宋体" w:cs="宋体"/>
          <w:b/>
          <w:bCs/>
          <w:sz w:val="28"/>
          <w:szCs w:val="28"/>
        </w:rPr>
      </w:pPr>
      <w:r>
        <w:rPr>
          <w:rFonts w:hint="eastAsia" w:ascii="宋体" w:hAnsi="宋体" w:cs="宋体"/>
          <w:b/>
          <w:bCs/>
          <w:sz w:val="28"/>
          <w:szCs w:val="28"/>
        </w:rPr>
        <w:t>4.2磋商响应文件如有修改、行间内插字和增删，修改处应由供应商加盖供应商的印章。</w:t>
      </w:r>
    </w:p>
    <w:p w14:paraId="33E4EB78">
      <w:pPr>
        <w:spacing w:line="500" w:lineRule="exact"/>
        <w:ind w:firstLine="562"/>
        <w:rPr>
          <w:rFonts w:hint="eastAsia" w:ascii="宋体" w:hAnsi="宋体" w:cs="宋体"/>
          <w:sz w:val="28"/>
          <w:szCs w:val="28"/>
        </w:rPr>
      </w:pPr>
      <w:r>
        <w:rPr>
          <w:rFonts w:hint="eastAsia" w:ascii="宋体" w:hAnsi="宋体" w:cs="宋体"/>
          <w:b/>
          <w:bCs/>
          <w:sz w:val="28"/>
          <w:szCs w:val="28"/>
        </w:rPr>
        <w:t>4.3投标文件均需打印并装订成册，签字使用不褪色的蓝、黑墨水笔书写，字迹应清晰易于辨认，如因投标文件字迹潦草或表达不清所引起的后果由供应商负责。供应商应在投标文件封面的右上角清楚地注明“正本”或“副本”，正本和副本如有不一致之处，以正本为准。</w:t>
      </w:r>
    </w:p>
    <w:p w14:paraId="6DA9EBB3">
      <w:pPr>
        <w:keepNext/>
        <w:spacing w:line="500" w:lineRule="exact"/>
        <w:outlineLvl w:val="3"/>
        <w:rPr>
          <w:rFonts w:hint="eastAsia" w:ascii="宋体" w:hAnsi="宋体" w:cs="宋体"/>
          <w:b/>
          <w:bCs/>
          <w:sz w:val="28"/>
          <w:szCs w:val="28"/>
        </w:rPr>
      </w:pPr>
      <w:bookmarkStart w:id="47" w:name="_Hlt26954838"/>
      <w:bookmarkEnd w:id="47"/>
      <w:bookmarkStart w:id="48" w:name="_Hlt26668975"/>
      <w:bookmarkEnd w:id="48"/>
      <w:bookmarkStart w:id="49" w:name="_Hlt26670360"/>
      <w:bookmarkEnd w:id="49"/>
      <w:bookmarkStart w:id="50" w:name="_Toc14577360"/>
      <w:bookmarkStart w:id="51" w:name="_Toc49090511"/>
      <w:r>
        <w:rPr>
          <w:rFonts w:hint="eastAsia" w:ascii="宋体" w:hAnsi="宋体" w:cs="宋体"/>
          <w:sz w:val="28"/>
          <w:szCs w:val="28"/>
        </w:rPr>
        <w:t>5.</w:t>
      </w:r>
      <w:bookmarkEnd w:id="50"/>
      <w:bookmarkEnd w:id="51"/>
      <w:r>
        <w:rPr>
          <w:rFonts w:hint="eastAsia" w:ascii="宋体" w:hAnsi="宋体" w:cs="宋体"/>
          <w:sz w:val="28"/>
          <w:szCs w:val="28"/>
        </w:rPr>
        <w:t>磋商响应有效期</w:t>
      </w:r>
    </w:p>
    <w:p w14:paraId="483BA1D3">
      <w:pPr>
        <w:spacing w:line="500" w:lineRule="exact"/>
        <w:ind w:firstLine="560"/>
        <w:rPr>
          <w:rFonts w:hint="eastAsia" w:ascii="宋体" w:hAnsi="宋体" w:cs="宋体"/>
          <w:bCs/>
          <w:sz w:val="28"/>
          <w:szCs w:val="28"/>
        </w:rPr>
      </w:pPr>
      <w:r>
        <w:rPr>
          <w:rFonts w:hint="eastAsia" w:ascii="宋体" w:hAnsi="宋体" w:cs="宋体"/>
          <w:bCs/>
          <w:sz w:val="28"/>
          <w:szCs w:val="28"/>
        </w:rPr>
        <w:t>5.1磋商响应有效期为采购人规定的响应文件</w:t>
      </w:r>
      <w:r>
        <w:rPr>
          <w:rFonts w:hint="eastAsia" w:ascii="宋体" w:hAnsi="宋体" w:cs="宋体"/>
          <w:sz w:val="28"/>
          <w:szCs w:val="28"/>
        </w:rPr>
        <w:t>提交</w:t>
      </w:r>
      <w:r>
        <w:rPr>
          <w:rFonts w:hint="eastAsia" w:ascii="宋体" w:hAnsi="宋体" w:cs="宋体"/>
          <w:bCs/>
          <w:sz w:val="28"/>
          <w:szCs w:val="28"/>
        </w:rPr>
        <w:t>截止时间后</w:t>
      </w:r>
      <w:r>
        <w:rPr>
          <w:rFonts w:hint="eastAsia" w:ascii="宋体" w:hAnsi="宋体" w:cs="宋体"/>
          <w:b/>
          <w:sz w:val="28"/>
          <w:szCs w:val="28"/>
          <w:u w:val="single"/>
        </w:rPr>
        <w:t>六十（60）天</w:t>
      </w:r>
      <w:r>
        <w:rPr>
          <w:rFonts w:hint="eastAsia" w:ascii="宋体" w:hAnsi="宋体" w:cs="宋体"/>
          <w:bCs/>
          <w:sz w:val="28"/>
          <w:szCs w:val="28"/>
        </w:rPr>
        <w:t>。磋商响应有效期比规定短的将被视为非实质性响应而予以拒绝。</w:t>
      </w:r>
    </w:p>
    <w:p w14:paraId="33B8DEE5">
      <w:pPr>
        <w:keepNext/>
        <w:spacing w:line="500" w:lineRule="exact"/>
        <w:outlineLvl w:val="3"/>
        <w:rPr>
          <w:rFonts w:hint="eastAsia" w:ascii="宋体" w:hAnsi="宋体" w:cs="宋体"/>
          <w:b/>
          <w:bCs/>
          <w:sz w:val="28"/>
          <w:szCs w:val="28"/>
        </w:rPr>
      </w:pPr>
      <w:r>
        <w:rPr>
          <w:rFonts w:hint="eastAsia" w:ascii="宋体" w:hAnsi="宋体" w:cs="宋体"/>
          <w:sz w:val="28"/>
          <w:szCs w:val="28"/>
        </w:rPr>
        <w:t>6.磋商响应有效期的延长</w:t>
      </w:r>
    </w:p>
    <w:p w14:paraId="6D5C058E">
      <w:pPr>
        <w:spacing w:line="500" w:lineRule="exact"/>
        <w:ind w:firstLine="560"/>
        <w:rPr>
          <w:rFonts w:hint="eastAsia" w:ascii="宋体" w:hAnsi="宋体" w:cs="宋体"/>
          <w:bCs/>
          <w:sz w:val="28"/>
          <w:szCs w:val="28"/>
        </w:rPr>
      </w:pPr>
      <w:r>
        <w:rPr>
          <w:rFonts w:hint="eastAsia" w:ascii="宋体" w:hAnsi="宋体" w:cs="宋体"/>
          <w:bCs/>
          <w:sz w:val="28"/>
          <w:szCs w:val="28"/>
        </w:rPr>
        <w:t>6.1在特殊情况下，采购人于原磋商响应有效期满之前，可向磋商供应商提出延长磋商响应有效期的要求。这种要求与答复均应采用书面形式。供应商可以拒绝采购人的这一要求而放弃磋商响应，同意延长磋商响应有效期的供应商既不能要求也不允许修改其响应文件。</w:t>
      </w:r>
      <w:r>
        <w:rPr>
          <w:rFonts w:hint="eastAsia" w:ascii="宋体" w:hAnsi="宋体" w:cs="宋体"/>
          <w:sz w:val="28"/>
          <w:szCs w:val="28"/>
        </w:rPr>
        <w:t>受磋商响应有效期约束的所有权利与义务均延长至新的有效期</w:t>
      </w:r>
      <w:r>
        <w:rPr>
          <w:rFonts w:hint="eastAsia" w:ascii="宋体" w:hAnsi="宋体" w:cs="宋体"/>
          <w:bCs/>
          <w:sz w:val="28"/>
          <w:szCs w:val="28"/>
        </w:rPr>
        <w:t>。</w:t>
      </w:r>
    </w:p>
    <w:p w14:paraId="034DFFED">
      <w:pPr>
        <w:keepNext/>
        <w:keepLines/>
        <w:spacing w:line="500" w:lineRule="exact"/>
        <w:outlineLvl w:val="2"/>
        <w:rPr>
          <w:rFonts w:hint="eastAsia" w:ascii="宋体" w:hAnsi="宋体" w:cs="宋体"/>
          <w:b/>
          <w:bCs/>
          <w:sz w:val="28"/>
          <w:szCs w:val="28"/>
        </w:rPr>
      </w:pPr>
      <w:bookmarkStart w:id="52" w:name="_Hlt26954739"/>
      <w:bookmarkEnd w:id="52"/>
      <w:bookmarkStart w:id="53" w:name="_Hlt26954852"/>
      <w:bookmarkEnd w:id="53"/>
      <w:bookmarkStart w:id="54" w:name="_Toc16938540"/>
      <w:bookmarkStart w:id="55" w:name="_Toc20823296"/>
      <w:bookmarkStart w:id="56" w:name="_Toc513029224"/>
      <w:bookmarkStart w:id="57" w:name="_Toc120614217"/>
      <w:r>
        <w:rPr>
          <w:rFonts w:hint="eastAsia" w:ascii="宋体" w:hAnsi="宋体" w:cs="宋体"/>
          <w:b/>
          <w:bCs/>
          <w:sz w:val="28"/>
          <w:szCs w:val="28"/>
        </w:rPr>
        <w:t>（四）响应文件的提交</w:t>
      </w:r>
      <w:bookmarkEnd w:id="54"/>
      <w:bookmarkEnd w:id="55"/>
      <w:bookmarkEnd w:id="56"/>
      <w:bookmarkEnd w:id="57"/>
    </w:p>
    <w:p w14:paraId="530B1D09">
      <w:pPr>
        <w:keepNext/>
        <w:spacing w:line="500" w:lineRule="exact"/>
        <w:outlineLvl w:val="3"/>
        <w:rPr>
          <w:rFonts w:hint="eastAsia" w:ascii="宋体" w:hAnsi="宋体" w:cs="宋体"/>
          <w:b/>
          <w:bCs/>
          <w:sz w:val="28"/>
          <w:szCs w:val="28"/>
        </w:rPr>
      </w:pPr>
      <w:bookmarkStart w:id="58" w:name="_Toc20823297"/>
      <w:bookmarkStart w:id="59" w:name="_Toc513029225"/>
      <w:bookmarkStart w:id="60" w:name="_Toc462564084"/>
      <w:bookmarkStart w:id="61" w:name="_Toc16938541"/>
      <w:r>
        <w:rPr>
          <w:rFonts w:hint="eastAsia" w:ascii="宋体" w:hAnsi="宋体" w:cs="宋体"/>
          <w:sz w:val="28"/>
          <w:szCs w:val="28"/>
        </w:rPr>
        <w:t>1.响应文件</w:t>
      </w:r>
      <w:bookmarkEnd w:id="58"/>
      <w:bookmarkEnd w:id="59"/>
      <w:bookmarkEnd w:id="60"/>
      <w:bookmarkEnd w:id="61"/>
      <w:r>
        <w:rPr>
          <w:rFonts w:hint="eastAsia" w:ascii="宋体" w:hAnsi="宋体" w:cs="宋体"/>
          <w:sz w:val="28"/>
          <w:szCs w:val="28"/>
        </w:rPr>
        <w:t>的提交</w:t>
      </w:r>
    </w:p>
    <w:p w14:paraId="5012F24C">
      <w:pPr>
        <w:spacing w:line="500" w:lineRule="exact"/>
        <w:ind w:firstLine="556"/>
        <w:rPr>
          <w:rFonts w:hint="eastAsia" w:ascii="宋体" w:hAnsi="宋体" w:cs="宋体"/>
          <w:bCs/>
          <w:sz w:val="28"/>
          <w:szCs w:val="28"/>
        </w:rPr>
      </w:pPr>
      <w:r>
        <w:rPr>
          <w:rFonts w:hint="eastAsia" w:ascii="宋体" w:hAnsi="宋体" w:cs="宋体"/>
          <w:bCs/>
          <w:sz w:val="28"/>
          <w:szCs w:val="28"/>
        </w:rPr>
        <w:t>1.1供应商应当在响应文件提交截止时间前提交按照磋商文件要求密封的响应文件。</w:t>
      </w:r>
      <w:bookmarkStart w:id="62" w:name="_Toc20823298"/>
      <w:bookmarkStart w:id="63" w:name="_Toc513029226"/>
      <w:bookmarkStart w:id="64" w:name="_Toc16938542"/>
    </w:p>
    <w:p w14:paraId="5EBD5493">
      <w:pPr>
        <w:spacing w:line="500" w:lineRule="exact"/>
        <w:rPr>
          <w:rFonts w:hint="eastAsia" w:ascii="宋体" w:hAnsi="宋体" w:cs="宋体"/>
          <w:b/>
          <w:sz w:val="28"/>
          <w:szCs w:val="28"/>
        </w:rPr>
      </w:pPr>
      <w:r>
        <w:rPr>
          <w:rFonts w:hint="eastAsia" w:ascii="宋体" w:hAnsi="宋体" w:cs="宋体"/>
          <w:sz w:val="28"/>
          <w:szCs w:val="28"/>
        </w:rPr>
        <w:t>2.响应文件截止日期</w:t>
      </w:r>
      <w:bookmarkEnd w:id="62"/>
      <w:bookmarkEnd w:id="63"/>
      <w:bookmarkEnd w:id="64"/>
    </w:p>
    <w:p w14:paraId="0FBB4657">
      <w:pPr>
        <w:spacing w:line="500" w:lineRule="exact"/>
        <w:ind w:firstLine="560"/>
        <w:rPr>
          <w:rFonts w:hint="eastAsia" w:ascii="宋体" w:hAnsi="宋体" w:cs="宋体"/>
          <w:bCs/>
          <w:sz w:val="28"/>
          <w:szCs w:val="28"/>
        </w:rPr>
      </w:pPr>
      <w:r>
        <w:rPr>
          <w:rFonts w:hint="eastAsia" w:ascii="宋体" w:hAnsi="宋体" w:cs="宋体"/>
          <w:bCs/>
          <w:sz w:val="28"/>
          <w:szCs w:val="28"/>
        </w:rPr>
        <w:t>2.1供应商提交响应文件的时间不得迟于磋商公告中规定的响应文件提交截止时间。</w:t>
      </w:r>
    </w:p>
    <w:p w14:paraId="5344F785">
      <w:pPr>
        <w:spacing w:line="500" w:lineRule="exact"/>
        <w:ind w:firstLine="560"/>
        <w:rPr>
          <w:rFonts w:hint="eastAsia" w:ascii="宋体" w:hAnsi="宋体" w:cs="宋体"/>
          <w:bCs/>
          <w:sz w:val="28"/>
          <w:szCs w:val="28"/>
        </w:rPr>
      </w:pPr>
      <w:r>
        <w:rPr>
          <w:rFonts w:hint="eastAsia" w:ascii="宋体" w:hAnsi="宋体" w:cs="宋体"/>
          <w:sz w:val="28"/>
          <w:szCs w:val="28"/>
        </w:rPr>
        <w:t>2.2</w:t>
      </w:r>
      <w:r>
        <w:rPr>
          <w:rFonts w:hint="eastAsia" w:ascii="宋体" w:hAnsi="宋体" w:cs="宋体"/>
          <w:bCs/>
          <w:sz w:val="28"/>
          <w:szCs w:val="28"/>
        </w:rPr>
        <w:t>采购人可以按照规定，通过修改响应文件酌情延长响应文件提交截止日期，在此情况下，供应商的所有权利和义务以及供应商受制的截止日期均应以延长后新的截止日期为准。</w:t>
      </w:r>
    </w:p>
    <w:p w14:paraId="6A4C16CA">
      <w:pPr>
        <w:keepNext/>
        <w:spacing w:line="500" w:lineRule="exact"/>
        <w:outlineLvl w:val="3"/>
        <w:rPr>
          <w:rFonts w:hint="eastAsia" w:ascii="宋体" w:hAnsi="宋体" w:cs="宋体"/>
          <w:b/>
          <w:bCs/>
          <w:sz w:val="28"/>
          <w:szCs w:val="28"/>
        </w:rPr>
      </w:pPr>
      <w:bookmarkStart w:id="65" w:name="_Toc513029227"/>
      <w:bookmarkStart w:id="66" w:name="_Toc16938543"/>
      <w:bookmarkStart w:id="67" w:name="_Toc20823299"/>
      <w:r>
        <w:rPr>
          <w:rFonts w:hint="eastAsia" w:ascii="宋体" w:hAnsi="宋体" w:cs="宋体"/>
          <w:sz w:val="28"/>
          <w:szCs w:val="28"/>
        </w:rPr>
        <w:t>3.响应文件</w:t>
      </w:r>
      <w:bookmarkEnd w:id="65"/>
      <w:bookmarkEnd w:id="66"/>
      <w:bookmarkEnd w:id="67"/>
      <w:r>
        <w:rPr>
          <w:rFonts w:hint="eastAsia" w:ascii="宋体" w:hAnsi="宋体" w:cs="宋体"/>
          <w:sz w:val="28"/>
          <w:szCs w:val="28"/>
        </w:rPr>
        <w:t>的拒收</w:t>
      </w:r>
    </w:p>
    <w:p w14:paraId="3B332B64">
      <w:pPr>
        <w:spacing w:line="500" w:lineRule="exact"/>
        <w:ind w:firstLine="560"/>
        <w:rPr>
          <w:rFonts w:hint="eastAsia" w:ascii="宋体" w:hAnsi="宋体" w:cs="宋体"/>
          <w:bCs/>
          <w:sz w:val="28"/>
          <w:szCs w:val="28"/>
        </w:rPr>
      </w:pPr>
      <w:r>
        <w:rPr>
          <w:rFonts w:hint="eastAsia" w:ascii="宋体" w:hAnsi="宋体" w:cs="宋体"/>
          <w:bCs/>
          <w:sz w:val="28"/>
          <w:szCs w:val="28"/>
        </w:rPr>
        <w:t>3.1采购人拒绝接收未按照磋商文件要求密封的磋商响应文件拒绝接收在磋商响应文件接收截止时间后送达的磋商响应文件。</w:t>
      </w:r>
    </w:p>
    <w:p w14:paraId="0D684ED6">
      <w:pPr>
        <w:keepNext/>
        <w:spacing w:line="500" w:lineRule="exact"/>
        <w:outlineLvl w:val="3"/>
        <w:rPr>
          <w:rFonts w:hint="eastAsia" w:ascii="宋体" w:hAnsi="宋体" w:cs="宋体"/>
          <w:b/>
          <w:bCs/>
          <w:sz w:val="28"/>
          <w:szCs w:val="28"/>
        </w:rPr>
      </w:pPr>
      <w:bookmarkStart w:id="68" w:name="_Toc16938544"/>
      <w:bookmarkStart w:id="69" w:name="_Toc20823300"/>
      <w:bookmarkStart w:id="70" w:name="_Toc513029228"/>
      <w:r>
        <w:rPr>
          <w:rFonts w:hint="eastAsia" w:ascii="宋体" w:hAnsi="宋体" w:cs="宋体"/>
          <w:sz w:val="28"/>
          <w:szCs w:val="28"/>
        </w:rPr>
        <w:t>4. 响应文件的撤回和修改</w:t>
      </w:r>
      <w:bookmarkEnd w:id="68"/>
      <w:bookmarkEnd w:id="69"/>
      <w:bookmarkEnd w:id="70"/>
    </w:p>
    <w:p w14:paraId="3F947D52">
      <w:pPr>
        <w:adjustRightInd w:val="0"/>
        <w:snapToGrid w:val="0"/>
        <w:spacing w:line="500" w:lineRule="exact"/>
        <w:ind w:firstLine="560" w:firstLineChars="200"/>
        <w:rPr>
          <w:rFonts w:hint="eastAsia" w:ascii="宋体" w:hAnsi="宋体" w:cs="宋体"/>
          <w:sz w:val="28"/>
          <w:szCs w:val="28"/>
          <w:highlight w:val="none"/>
        </w:rPr>
      </w:pPr>
      <w:bookmarkStart w:id="71" w:name="_Toc16938545"/>
      <w:bookmarkStart w:id="72" w:name="_Toc513029229"/>
      <w:bookmarkStart w:id="73" w:name="_Toc120614218"/>
      <w:bookmarkStart w:id="74" w:name="_Toc20823301"/>
      <w:r>
        <w:rPr>
          <w:rFonts w:hint="eastAsia" w:ascii="宋体" w:hAnsi="宋体" w:cs="宋体"/>
          <w:sz w:val="28"/>
          <w:szCs w:val="28"/>
          <w:highlight w:val="none"/>
        </w:rPr>
        <w:t>4.1 响应文件的撤回</w:t>
      </w:r>
    </w:p>
    <w:p w14:paraId="34AAAF13">
      <w:pPr>
        <w:adjustRightInd w:val="0"/>
        <w:snapToGrid w:val="0"/>
        <w:spacing w:line="500" w:lineRule="exact"/>
        <w:ind w:firstLine="560" w:firstLineChars="200"/>
        <w:rPr>
          <w:rFonts w:hint="eastAsia" w:ascii="宋体" w:hAnsi="宋体" w:cs="宋体"/>
          <w:sz w:val="28"/>
          <w:szCs w:val="28"/>
          <w:highlight w:val="none"/>
        </w:rPr>
      </w:pPr>
      <w:r>
        <w:rPr>
          <w:rFonts w:hint="eastAsia" w:ascii="宋体" w:hAnsi="宋体" w:cs="宋体"/>
          <w:sz w:val="28"/>
          <w:szCs w:val="28"/>
          <w:highlight w:val="none"/>
        </w:rPr>
        <w:t>4.1.1 响应文件的撤回</w:t>
      </w:r>
    </w:p>
    <w:p w14:paraId="2A0814F0">
      <w:pPr>
        <w:adjustRightInd w:val="0"/>
        <w:snapToGrid w:val="0"/>
        <w:spacing w:line="500" w:lineRule="exact"/>
        <w:ind w:firstLine="560" w:firstLineChars="200"/>
        <w:rPr>
          <w:rFonts w:hint="eastAsia" w:ascii="宋体" w:hAnsi="宋体" w:cs="宋体"/>
          <w:sz w:val="28"/>
          <w:szCs w:val="28"/>
          <w:highlight w:val="none"/>
        </w:rPr>
      </w:pPr>
      <w:r>
        <w:rPr>
          <w:rFonts w:hint="eastAsia" w:ascii="宋体" w:hAnsi="宋体" w:cs="宋体"/>
          <w:sz w:val="28"/>
          <w:szCs w:val="28"/>
          <w:highlight w:val="none"/>
        </w:rPr>
        <w:t>供应商可在响应文件提交截止时间前，撤回其响应文件。</w:t>
      </w:r>
    </w:p>
    <w:p w14:paraId="12DF7435">
      <w:pPr>
        <w:adjustRightInd w:val="0"/>
        <w:snapToGrid w:val="0"/>
        <w:spacing w:line="500" w:lineRule="exact"/>
        <w:ind w:firstLine="560" w:firstLineChars="200"/>
        <w:rPr>
          <w:rFonts w:hint="eastAsia" w:ascii="宋体" w:hAnsi="宋体" w:cs="宋体"/>
          <w:sz w:val="28"/>
          <w:szCs w:val="28"/>
          <w:highlight w:val="none"/>
        </w:rPr>
      </w:pPr>
      <w:r>
        <w:rPr>
          <w:rFonts w:hint="eastAsia" w:ascii="宋体" w:hAnsi="宋体" w:cs="宋体"/>
          <w:sz w:val="28"/>
          <w:szCs w:val="28"/>
          <w:highlight w:val="none"/>
        </w:rPr>
        <w:t>4.1.2 供应商撤回响应文件，则认为其不再参与本项目磋商活动。</w:t>
      </w:r>
    </w:p>
    <w:p w14:paraId="399D600A">
      <w:pPr>
        <w:adjustRightInd w:val="0"/>
        <w:snapToGrid w:val="0"/>
        <w:spacing w:line="500" w:lineRule="exact"/>
        <w:ind w:firstLine="560" w:firstLineChars="200"/>
        <w:rPr>
          <w:rFonts w:hint="eastAsia" w:ascii="宋体" w:hAnsi="宋体" w:cs="宋体"/>
          <w:sz w:val="28"/>
          <w:szCs w:val="28"/>
          <w:highlight w:val="none"/>
        </w:rPr>
      </w:pPr>
      <w:r>
        <w:rPr>
          <w:rFonts w:hint="eastAsia" w:ascii="宋体" w:hAnsi="宋体" w:cs="宋体"/>
          <w:sz w:val="28"/>
          <w:szCs w:val="28"/>
          <w:highlight w:val="none"/>
        </w:rPr>
        <w:t>4.2 响应文件的修改</w:t>
      </w:r>
    </w:p>
    <w:p w14:paraId="239F799B">
      <w:pPr>
        <w:adjustRightInd w:val="0"/>
        <w:snapToGrid w:val="0"/>
        <w:spacing w:line="500" w:lineRule="exact"/>
        <w:ind w:firstLine="555"/>
        <w:rPr>
          <w:rFonts w:hint="eastAsia" w:ascii="宋体" w:hAnsi="宋体" w:cs="宋体"/>
          <w:sz w:val="28"/>
          <w:szCs w:val="28"/>
          <w:highlight w:val="none"/>
        </w:rPr>
      </w:pPr>
      <w:r>
        <w:rPr>
          <w:rFonts w:hint="eastAsia" w:ascii="宋体" w:hAnsi="宋体" w:cs="宋体"/>
          <w:bCs/>
          <w:sz w:val="28"/>
          <w:szCs w:val="28"/>
          <w:highlight w:val="none"/>
        </w:rPr>
        <w:t>供应商可在响应文件提交截止时间前，对其响应文件进行修改，</w:t>
      </w:r>
      <w:r>
        <w:rPr>
          <w:rFonts w:hint="eastAsia" w:ascii="宋体" w:hAnsi="宋体" w:cs="宋体"/>
          <w:sz w:val="28"/>
          <w:szCs w:val="28"/>
          <w:highlight w:val="none"/>
        </w:rPr>
        <w:t>供应商必须将修改磋商响应文件的书面材料密封后提交给采购代理机构，同时在封套上标明“修改磋商响应文件”和“开标时启封”字样。采购人或采购代理机构可以予以接收，但不退换磋商响应文件。补充、修改的内容应当按照磋商文件要求签署、盖章、密封后，作为磋商响应文件的组成部分。</w:t>
      </w:r>
    </w:p>
    <w:p w14:paraId="40994731">
      <w:pPr>
        <w:adjustRightInd w:val="0"/>
        <w:snapToGrid w:val="0"/>
        <w:spacing w:line="500" w:lineRule="exact"/>
        <w:ind w:firstLine="555"/>
        <w:rPr>
          <w:rFonts w:hint="eastAsia" w:ascii="宋体" w:hAnsi="宋体" w:cs="宋体"/>
          <w:bCs/>
          <w:sz w:val="28"/>
          <w:szCs w:val="28"/>
          <w:highlight w:val="none"/>
        </w:rPr>
      </w:pPr>
      <w:r>
        <w:rPr>
          <w:rFonts w:hint="eastAsia" w:ascii="宋体" w:hAnsi="宋体" w:cs="宋体"/>
          <w:sz w:val="28"/>
          <w:szCs w:val="28"/>
          <w:highlight w:val="none"/>
        </w:rPr>
        <w:t>4.3</w:t>
      </w:r>
      <w:r>
        <w:rPr>
          <w:rFonts w:hint="eastAsia" w:ascii="宋体" w:hAnsi="宋体" w:cs="宋体"/>
          <w:bCs/>
          <w:sz w:val="28"/>
          <w:szCs w:val="28"/>
          <w:highlight w:val="none"/>
        </w:rPr>
        <w:t xml:space="preserve"> 在响应文件提交截止时间之后，供应商不得对其响应文件作任何修改。</w:t>
      </w:r>
    </w:p>
    <w:p w14:paraId="1B02327B">
      <w:pPr>
        <w:adjustRightInd w:val="0"/>
        <w:snapToGrid w:val="0"/>
        <w:spacing w:line="500" w:lineRule="exact"/>
        <w:ind w:firstLine="555"/>
        <w:rPr>
          <w:rFonts w:hint="eastAsia" w:ascii="宋体" w:hAnsi="宋体" w:cs="宋体"/>
          <w:bCs/>
          <w:sz w:val="28"/>
          <w:szCs w:val="28"/>
          <w:highlight w:val="none"/>
        </w:rPr>
      </w:pPr>
      <w:r>
        <w:rPr>
          <w:rFonts w:hint="eastAsia" w:ascii="宋体" w:hAnsi="宋体" w:cs="宋体"/>
          <w:sz w:val="28"/>
          <w:szCs w:val="28"/>
          <w:highlight w:val="none"/>
        </w:rPr>
        <w:t>4.4</w:t>
      </w:r>
      <w:r>
        <w:rPr>
          <w:rFonts w:hint="eastAsia" w:ascii="宋体" w:hAnsi="宋体" w:cs="宋体"/>
          <w:bCs/>
          <w:sz w:val="28"/>
          <w:szCs w:val="28"/>
          <w:highlight w:val="none"/>
        </w:rPr>
        <w:t xml:space="preserve"> 在响应文件截止时间至响应文件中规定的磋商响应有效期满之间的这段时间内，供应商不得撤回其响应文件。</w:t>
      </w:r>
    </w:p>
    <w:p w14:paraId="49A1C555">
      <w:pPr>
        <w:spacing w:line="500" w:lineRule="exact"/>
        <w:rPr>
          <w:rFonts w:hint="eastAsia" w:ascii="宋体" w:hAnsi="宋体" w:cs="宋体"/>
          <w:b/>
          <w:bCs/>
          <w:sz w:val="28"/>
          <w:szCs w:val="28"/>
        </w:rPr>
      </w:pPr>
      <w:r>
        <w:rPr>
          <w:rFonts w:hint="eastAsia" w:ascii="宋体" w:hAnsi="宋体" w:cs="宋体"/>
          <w:b/>
          <w:bCs/>
          <w:sz w:val="28"/>
          <w:szCs w:val="28"/>
        </w:rPr>
        <w:t>（五）</w:t>
      </w:r>
      <w:bookmarkEnd w:id="71"/>
      <w:bookmarkEnd w:id="72"/>
      <w:bookmarkEnd w:id="73"/>
      <w:bookmarkEnd w:id="74"/>
      <w:bookmarkStart w:id="75" w:name="_Toc16938546"/>
      <w:bookmarkStart w:id="76" w:name="_Toc513029230"/>
      <w:bookmarkStart w:id="77" w:name="_Toc20823302"/>
      <w:r>
        <w:rPr>
          <w:rFonts w:hint="eastAsia" w:ascii="宋体" w:hAnsi="宋体" w:cs="宋体"/>
          <w:b/>
          <w:bCs/>
          <w:sz w:val="28"/>
          <w:szCs w:val="28"/>
        </w:rPr>
        <w:t>磋商与评审</w:t>
      </w:r>
    </w:p>
    <w:p w14:paraId="0F3701DD">
      <w:pPr>
        <w:spacing w:line="500" w:lineRule="exact"/>
        <w:ind w:firstLine="420"/>
        <w:rPr>
          <w:rFonts w:hint="eastAsia" w:ascii="宋体" w:hAnsi="宋体" w:cs="宋体"/>
          <w:bCs/>
          <w:sz w:val="28"/>
          <w:szCs w:val="28"/>
        </w:rPr>
      </w:pPr>
      <w:r>
        <w:rPr>
          <w:rFonts w:hint="eastAsia" w:ascii="宋体" w:hAnsi="宋体" w:cs="宋体"/>
          <w:bCs/>
          <w:sz w:val="28"/>
          <w:szCs w:val="28"/>
        </w:rPr>
        <w:t>1.磋商仪式</w:t>
      </w:r>
    </w:p>
    <w:p w14:paraId="1A082459">
      <w:pPr>
        <w:spacing w:line="500" w:lineRule="exact"/>
        <w:ind w:firstLine="420"/>
        <w:rPr>
          <w:rFonts w:hint="eastAsia" w:ascii="宋体" w:hAnsi="宋体" w:cs="宋体"/>
          <w:bCs/>
          <w:sz w:val="28"/>
          <w:szCs w:val="28"/>
        </w:rPr>
      </w:pPr>
      <w:r>
        <w:rPr>
          <w:rFonts w:hint="eastAsia" w:ascii="宋体" w:hAnsi="宋体" w:cs="宋体"/>
          <w:bCs/>
          <w:sz w:val="28"/>
          <w:szCs w:val="28"/>
        </w:rPr>
        <w:t>1.1采购人将在磋商公告中规定的时间和地点组织磋商开始仪式。</w:t>
      </w:r>
    </w:p>
    <w:p w14:paraId="06BE0966">
      <w:pPr>
        <w:spacing w:line="500" w:lineRule="exact"/>
        <w:ind w:firstLine="560"/>
        <w:rPr>
          <w:rFonts w:hint="eastAsia" w:ascii="宋体" w:hAnsi="宋体" w:cs="宋体"/>
          <w:b/>
          <w:sz w:val="28"/>
          <w:szCs w:val="28"/>
        </w:rPr>
      </w:pPr>
      <w:r>
        <w:rPr>
          <w:rFonts w:hint="eastAsia" w:ascii="宋体" w:hAnsi="宋体" w:cs="宋体"/>
          <w:bCs/>
          <w:sz w:val="28"/>
          <w:szCs w:val="28"/>
        </w:rPr>
        <w:t>1.2磋商活动的文件开标</w:t>
      </w:r>
      <w:r>
        <w:rPr>
          <w:rFonts w:hint="eastAsia" w:ascii="宋体" w:hAnsi="宋体" w:cs="宋体"/>
          <w:sz w:val="28"/>
          <w:szCs w:val="28"/>
        </w:rPr>
        <w:t>由采购人组织，在磋商公告中规定的时间和地点进行磋商，并公布各供应商的最后报价。</w:t>
      </w:r>
    </w:p>
    <w:p w14:paraId="266DB99F">
      <w:pPr>
        <w:spacing w:line="500" w:lineRule="exact"/>
        <w:ind w:firstLine="560"/>
        <w:rPr>
          <w:rFonts w:hint="eastAsia" w:ascii="宋体" w:hAnsi="宋体" w:cs="宋体"/>
          <w:sz w:val="28"/>
          <w:szCs w:val="28"/>
        </w:rPr>
      </w:pPr>
      <w:r>
        <w:rPr>
          <w:rFonts w:hint="eastAsia" w:ascii="宋体" w:hAnsi="宋体" w:cs="宋体"/>
          <w:sz w:val="28"/>
          <w:szCs w:val="28"/>
        </w:rPr>
        <w:t>2.磋商小组</w:t>
      </w:r>
    </w:p>
    <w:p w14:paraId="3DCAB7C8">
      <w:pPr>
        <w:spacing w:line="500" w:lineRule="exact"/>
        <w:ind w:firstLine="560"/>
        <w:rPr>
          <w:rFonts w:hint="eastAsia" w:ascii="宋体" w:hAnsi="宋体" w:cs="宋体"/>
          <w:sz w:val="28"/>
          <w:szCs w:val="28"/>
        </w:rPr>
      </w:pPr>
      <w:r>
        <w:rPr>
          <w:rFonts w:hint="eastAsia" w:ascii="宋体" w:hAnsi="宋体" w:cs="宋体"/>
          <w:sz w:val="28"/>
          <w:szCs w:val="28"/>
        </w:rPr>
        <w:t>2.1磋商开始仪式结束后，采购人将组织磋商小组进行评审。</w:t>
      </w:r>
    </w:p>
    <w:p w14:paraId="7440831E">
      <w:pPr>
        <w:spacing w:line="500" w:lineRule="exact"/>
        <w:ind w:firstLine="560"/>
        <w:rPr>
          <w:rFonts w:hint="eastAsia" w:ascii="宋体" w:hAnsi="宋体" w:cs="宋体"/>
          <w:sz w:val="28"/>
          <w:szCs w:val="28"/>
        </w:rPr>
      </w:pPr>
      <w:r>
        <w:rPr>
          <w:rFonts w:hint="eastAsia" w:ascii="宋体" w:hAnsi="宋体" w:cs="宋体"/>
          <w:sz w:val="28"/>
          <w:szCs w:val="28"/>
        </w:rPr>
        <w:t>2.2磋商小组由采购人代表和评审专家共3人以上单数组成，其中评审专家人数不得少于磋商小组成员总数的2/3。采购人不得以评审专家身份参加本部门或本单位采购项目的评审。</w:t>
      </w:r>
    </w:p>
    <w:p w14:paraId="0563AC3B">
      <w:pPr>
        <w:spacing w:line="500" w:lineRule="exact"/>
        <w:ind w:firstLine="560"/>
        <w:rPr>
          <w:rFonts w:hint="eastAsia" w:ascii="宋体" w:hAnsi="宋体" w:cs="宋体"/>
          <w:sz w:val="28"/>
          <w:szCs w:val="28"/>
        </w:rPr>
      </w:pPr>
      <w:r>
        <w:rPr>
          <w:rFonts w:hint="eastAsia" w:ascii="宋体" w:hAnsi="宋体" w:cs="宋体"/>
          <w:sz w:val="28"/>
          <w:szCs w:val="28"/>
        </w:rPr>
        <w:t>2.3超过公开招标限额标准的项目，磋商小组应当由5人以上单数组成。</w:t>
      </w:r>
    </w:p>
    <w:p w14:paraId="1693FBA5">
      <w:pPr>
        <w:spacing w:line="500" w:lineRule="exact"/>
        <w:ind w:firstLine="560"/>
        <w:rPr>
          <w:rFonts w:hint="eastAsia" w:ascii="宋体" w:hAnsi="宋体" w:cs="宋体"/>
          <w:sz w:val="28"/>
          <w:szCs w:val="28"/>
        </w:rPr>
      </w:pPr>
      <w:r>
        <w:rPr>
          <w:rFonts w:hint="eastAsia" w:ascii="宋体" w:hAnsi="宋体" w:cs="宋体"/>
          <w:sz w:val="28"/>
          <w:szCs w:val="28"/>
        </w:rPr>
        <w:t>2.</w:t>
      </w:r>
      <w:r>
        <w:rPr>
          <w:rFonts w:hint="eastAsia" w:ascii="宋体" w:hAnsi="宋体" w:cs="宋体"/>
          <w:sz w:val="28"/>
          <w:szCs w:val="28"/>
          <w:lang w:val="en-US" w:eastAsia="zh-CN"/>
        </w:rPr>
        <w:t>4</w:t>
      </w:r>
      <w:r>
        <w:rPr>
          <w:rFonts w:hint="eastAsia" w:ascii="宋体" w:hAnsi="宋体" w:cs="宋体"/>
          <w:sz w:val="28"/>
          <w:szCs w:val="28"/>
        </w:rPr>
        <w:t>磋商小组独立工作，负责评审所有响应文件并确定成交侯选人。</w:t>
      </w:r>
    </w:p>
    <w:p w14:paraId="250CE5C5">
      <w:pPr>
        <w:spacing w:line="500" w:lineRule="exact"/>
        <w:ind w:firstLine="560"/>
        <w:rPr>
          <w:rFonts w:hint="eastAsia" w:ascii="宋体" w:hAnsi="宋体" w:cs="宋体"/>
          <w:sz w:val="28"/>
          <w:szCs w:val="28"/>
        </w:rPr>
      </w:pPr>
      <w:r>
        <w:rPr>
          <w:rFonts w:hint="eastAsia" w:ascii="宋体" w:hAnsi="宋体" w:cs="宋体"/>
          <w:sz w:val="28"/>
          <w:szCs w:val="28"/>
        </w:rPr>
        <w:t>3.磋商评审过程的保密与公正</w:t>
      </w:r>
    </w:p>
    <w:p w14:paraId="73D11C63">
      <w:pPr>
        <w:tabs>
          <w:tab w:val="left" w:pos="900"/>
        </w:tabs>
        <w:spacing w:line="500" w:lineRule="exact"/>
        <w:ind w:firstLine="557"/>
        <w:rPr>
          <w:rFonts w:hint="eastAsia" w:ascii="宋体" w:hAnsi="宋体" w:cs="宋体"/>
          <w:sz w:val="28"/>
          <w:szCs w:val="28"/>
        </w:rPr>
      </w:pPr>
      <w:r>
        <w:rPr>
          <w:rFonts w:hint="eastAsia" w:ascii="宋体" w:hAnsi="宋体" w:cs="宋体"/>
          <w:sz w:val="28"/>
          <w:szCs w:val="28"/>
        </w:rPr>
        <w:t>3.1磋商小组、采购人与评审工作有关的人员，对评审情况以及在评审过程中获悉的国家秘密、商业秘密负有保密责任。</w:t>
      </w:r>
    </w:p>
    <w:p w14:paraId="512CE963">
      <w:pPr>
        <w:tabs>
          <w:tab w:val="left" w:pos="900"/>
        </w:tabs>
        <w:spacing w:line="500" w:lineRule="exact"/>
        <w:ind w:firstLine="557"/>
        <w:rPr>
          <w:rFonts w:hint="eastAsia" w:ascii="宋体" w:hAnsi="宋体" w:cs="宋体"/>
          <w:sz w:val="28"/>
          <w:szCs w:val="28"/>
        </w:rPr>
      </w:pPr>
      <w:r>
        <w:rPr>
          <w:rFonts w:hint="eastAsia" w:ascii="宋体" w:hAnsi="宋体" w:cs="宋体"/>
          <w:sz w:val="28"/>
          <w:szCs w:val="28"/>
        </w:rPr>
        <w:t>3.2在磋商评审过程中，磋商供应商不得以任何行为影响磋商评审过程，否则其响应文件将被作为无效响应文件。</w:t>
      </w:r>
    </w:p>
    <w:p w14:paraId="7C258436">
      <w:pPr>
        <w:tabs>
          <w:tab w:val="left" w:pos="900"/>
        </w:tabs>
        <w:spacing w:line="500" w:lineRule="exact"/>
        <w:ind w:firstLine="557"/>
        <w:rPr>
          <w:rFonts w:hint="eastAsia" w:ascii="宋体" w:hAnsi="宋体" w:cs="宋体"/>
          <w:sz w:val="28"/>
          <w:szCs w:val="28"/>
        </w:rPr>
      </w:pPr>
      <w:r>
        <w:rPr>
          <w:rFonts w:hint="eastAsia" w:ascii="宋体" w:hAnsi="宋体" w:cs="宋体"/>
          <w:sz w:val="28"/>
          <w:szCs w:val="28"/>
        </w:rPr>
        <w:t>3.3磋商小组成员应当按照客观、公正、审慎的原则，根据磋商文件规定的评审程序、评审方法和评审标准进行独立评审。未实质性响应磋商文件的响应文件按无效响应处理，磋商小组应当告知提交响应文件的供应商。</w:t>
      </w:r>
    </w:p>
    <w:p w14:paraId="6FE8C89A">
      <w:pPr>
        <w:tabs>
          <w:tab w:val="left" w:pos="900"/>
        </w:tabs>
        <w:spacing w:line="500" w:lineRule="exact"/>
        <w:ind w:firstLine="557"/>
        <w:rPr>
          <w:rFonts w:hint="eastAsia" w:ascii="宋体" w:hAnsi="宋体" w:cs="宋体"/>
          <w:bCs/>
          <w:sz w:val="28"/>
          <w:szCs w:val="28"/>
        </w:rPr>
      </w:pPr>
      <w:r>
        <w:rPr>
          <w:rFonts w:hint="eastAsia" w:ascii="宋体" w:hAnsi="宋体" w:cs="宋体"/>
          <w:sz w:val="28"/>
          <w:szCs w:val="28"/>
        </w:rPr>
        <w:t>3.4</w:t>
      </w:r>
      <w:r>
        <w:rPr>
          <w:rFonts w:hint="eastAsia" w:ascii="宋体" w:hAnsi="宋体" w:cs="宋体"/>
          <w:bCs/>
          <w:sz w:val="28"/>
          <w:szCs w:val="28"/>
        </w:rPr>
        <w:t>评审开始后，直至向成交供应商授予合同时止，凡是与审查、澄清、评价和比较响应的有关资料以及授标建议等，采购人、磋商小组均不得向供应商或与评标无关的其他人员透露。</w:t>
      </w:r>
    </w:p>
    <w:p w14:paraId="17ECB392">
      <w:pPr>
        <w:spacing w:line="500" w:lineRule="exact"/>
        <w:ind w:firstLine="560"/>
        <w:rPr>
          <w:rFonts w:hint="eastAsia" w:ascii="宋体" w:hAnsi="宋体" w:cs="宋体"/>
          <w:sz w:val="28"/>
          <w:szCs w:val="28"/>
        </w:rPr>
      </w:pPr>
      <w:r>
        <w:rPr>
          <w:rFonts w:hint="eastAsia" w:ascii="宋体" w:hAnsi="宋体" w:cs="宋体"/>
          <w:sz w:val="28"/>
          <w:szCs w:val="28"/>
        </w:rPr>
        <w:t>3.5在评审期间，采购人将设专门人员与供应商联系。</w:t>
      </w:r>
    </w:p>
    <w:p w14:paraId="3AC56A06">
      <w:pPr>
        <w:spacing w:line="500" w:lineRule="exact"/>
        <w:ind w:firstLine="560"/>
        <w:rPr>
          <w:rFonts w:hint="eastAsia" w:ascii="宋体" w:hAnsi="宋体" w:cs="宋体"/>
          <w:sz w:val="28"/>
          <w:szCs w:val="28"/>
        </w:rPr>
      </w:pPr>
      <w:r>
        <w:rPr>
          <w:rFonts w:hint="eastAsia" w:ascii="宋体" w:hAnsi="宋体" w:cs="宋体"/>
          <w:sz w:val="28"/>
          <w:szCs w:val="28"/>
        </w:rPr>
        <w:t>3.6采购人和评审小组不向未成交的供应商解释未成交原因，也不公布评审过程中的相关细节。</w:t>
      </w:r>
    </w:p>
    <w:p w14:paraId="1511AF8E">
      <w:pPr>
        <w:tabs>
          <w:tab w:val="left" w:pos="900"/>
        </w:tabs>
        <w:spacing w:line="500" w:lineRule="exact"/>
        <w:ind w:firstLine="557"/>
        <w:rPr>
          <w:rFonts w:hint="eastAsia" w:ascii="宋体" w:hAnsi="宋体" w:cs="宋体"/>
          <w:sz w:val="28"/>
          <w:szCs w:val="28"/>
        </w:rPr>
      </w:pPr>
      <w:r>
        <w:rPr>
          <w:rFonts w:hint="eastAsia" w:ascii="宋体" w:hAnsi="宋体" w:cs="宋体"/>
          <w:sz w:val="28"/>
          <w:szCs w:val="28"/>
        </w:rPr>
        <w:t>4、评审过程的澄清</w:t>
      </w:r>
    </w:p>
    <w:p w14:paraId="62DE6DCC">
      <w:pPr>
        <w:spacing w:line="500" w:lineRule="exact"/>
        <w:ind w:firstLine="560"/>
        <w:rPr>
          <w:rFonts w:hint="eastAsia" w:ascii="宋体" w:hAnsi="宋体" w:cs="宋体"/>
          <w:sz w:val="28"/>
          <w:szCs w:val="28"/>
        </w:rPr>
      </w:pPr>
      <w:r>
        <w:rPr>
          <w:rFonts w:hint="eastAsia" w:ascii="宋体" w:hAnsi="宋体" w:cs="宋体"/>
          <w:sz w:val="28"/>
          <w:szCs w:val="28"/>
        </w:rPr>
        <w:t>4.1评审期间，为有助于对响应文件的审查、评价和比较，磋商小组有权以电子函件形式要求响应人对其响应文件进行澄清，但并非对每个供应商都作澄清要求。</w:t>
      </w:r>
    </w:p>
    <w:p w14:paraId="6F19675D">
      <w:pPr>
        <w:spacing w:line="500" w:lineRule="exact"/>
        <w:ind w:firstLine="560"/>
        <w:rPr>
          <w:rFonts w:hint="eastAsia" w:ascii="宋体" w:hAnsi="宋体" w:cs="宋体"/>
          <w:sz w:val="28"/>
          <w:szCs w:val="28"/>
        </w:rPr>
      </w:pPr>
      <w:r>
        <w:rPr>
          <w:rFonts w:hint="eastAsia" w:ascii="宋体" w:hAnsi="宋体" w:cs="宋体"/>
          <w:sz w:val="28"/>
          <w:szCs w:val="28"/>
        </w:rPr>
        <w:t>4.2接到磋商小组澄清要求的供应商应派人按磋商小组规定的时间和格式做出澄清，澄清的内容作为响应文件的补充部分，但实质性的内容不得做任何更改。</w:t>
      </w:r>
    </w:p>
    <w:p w14:paraId="43206941">
      <w:pPr>
        <w:spacing w:line="500" w:lineRule="exact"/>
        <w:ind w:firstLine="560"/>
        <w:rPr>
          <w:rFonts w:hint="eastAsia" w:ascii="宋体" w:hAnsi="宋体" w:cs="宋体"/>
          <w:bCs/>
          <w:sz w:val="28"/>
          <w:szCs w:val="28"/>
        </w:rPr>
      </w:pPr>
      <w:r>
        <w:rPr>
          <w:rFonts w:hint="eastAsia" w:ascii="宋体" w:hAnsi="宋体" w:cs="宋体"/>
          <w:sz w:val="28"/>
          <w:szCs w:val="28"/>
        </w:rPr>
        <w:t>4.3接到磋商小组澄清要求的供应商如未按规定做出澄清，其风</w:t>
      </w:r>
      <w:r>
        <w:rPr>
          <w:rFonts w:hint="eastAsia" w:ascii="宋体" w:hAnsi="宋体" w:cs="宋体"/>
          <w:bCs/>
          <w:sz w:val="28"/>
          <w:szCs w:val="28"/>
        </w:rPr>
        <w:t>险由供应商自行承担。</w:t>
      </w:r>
    </w:p>
    <w:p w14:paraId="66673951">
      <w:pPr>
        <w:spacing w:line="500" w:lineRule="exact"/>
        <w:ind w:firstLine="560"/>
        <w:rPr>
          <w:rFonts w:hint="eastAsia" w:ascii="宋体" w:hAnsi="宋体" w:cs="宋体"/>
          <w:bCs/>
          <w:sz w:val="28"/>
          <w:szCs w:val="28"/>
        </w:rPr>
      </w:pPr>
      <w:r>
        <w:rPr>
          <w:rFonts w:hint="eastAsia" w:ascii="宋体" w:hAnsi="宋体" w:cs="宋体"/>
          <w:bCs/>
          <w:sz w:val="28"/>
          <w:szCs w:val="28"/>
        </w:rPr>
        <w:t>5.对响应文件的初审</w:t>
      </w:r>
    </w:p>
    <w:p w14:paraId="7620904D">
      <w:pPr>
        <w:spacing w:line="500" w:lineRule="exact"/>
        <w:ind w:firstLine="560"/>
        <w:rPr>
          <w:rFonts w:hint="eastAsia" w:ascii="宋体" w:hAnsi="宋体" w:cs="宋体"/>
          <w:bCs/>
          <w:sz w:val="28"/>
          <w:szCs w:val="28"/>
        </w:rPr>
      </w:pPr>
      <w:r>
        <w:rPr>
          <w:rFonts w:hint="eastAsia" w:ascii="宋体" w:hAnsi="宋体" w:cs="宋体"/>
          <w:bCs/>
          <w:sz w:val="28"/>
          <w:szCs w:val="28"/>
        </w:rPr>
        <w:t>5.1响应文件初审为资格性审查。</w:t>
      </w:r>
    </w:p>
    <w:p w14:paraId="3ADD3A52">
      <w:pPr>
        <w:spacing w:line="500" w:lineRule="exact"/>
        <w:ind w:firstLine="560"/>
        <w:rPr>
          <w:rFonts w:hint="eastAsia" w:ascii="宋体" w:hAnsi="宋体" w:cs="宋体"/>
          <w:bCs/>
          <w:sz w:val="28"/>
          <w:szCs w:val="28"/>
        </w:rPr>
      </w:pPr>
      <w:r>
        <w:rPr>
          <w:rFonts w:hint="eastAsia" w:ascii="宋体" w:hAnsi="宋体" w:cs="宋体"/>
          <w:bCs/>
          <w:sz w:val="28"/>
          <w:szCs w:val="28"/>
        </w:rPr>
        <w:t>5.1.1资格性检查：依据法律法规和磋商文件的规定，</w:t>
      </w:r>
      <w:r>
        <w:rPr>
          <w:rFonts w:hint="eastAsia" w:ascii="宋体" w:hAnsi="宋体" w:cs="宋体"/>
          <w:bCs/>
          <w:sz w:val="28"/>
          <w:szCs w:val="28"/>
          <w:highlight w:val="none"/>
          <w:lang w:val="en-US" w:eastAsia="zh-CN"/>
        </w:rPr>
        <w:t>首先</w:t>
      </w:r>
      <w:r>
        <w:rPr>
          <w:rFonts w:hint="eastAsia" w:ascii="宋体" w:hAnsi="宋体" w:cs="宋体"/>
          <w:bCs/>
          <w:sz w:val="28"/>
          <w:szCs w:val="28"/>
          <w:highlight w:val="none"/>
        </w:rPr>
        <w:t>对响</w:t>
      </w:r>
      <w:r>
        <w:rPr>
          <w:rFonts w:hint="eastAsia" w:ascii="宋体" w:hAnsi="宋体" w:cs="宋体"/>
          <w:bCs/>
          <w:sz w:val="28"/>
          <w:szCs w:val="28"/>
        </w:rPr>
        <w:t>应文件中的资格审查证明材料进行审查。进入评标程序后，由磋商小组从响应文件的有效性、完整性和对磋商文件的响应程度进行审查，以确定是否对磋商文件的实质性要求作出响应。</w:t>
      </w:r>
    </w:p>
    <w:p w14:paraId="645C9EAF">
      <w:pPr>
        <w:spacing w:line="500" w:lineRule="exact"/>
        <w:ind w:firstLine="560"/>
        <w:rPr>
          <w:rFonts w:hint="eastAsia" w:ascii="宋体" w:hAnsi="宋体" w:cs="宋体"/>
          <w:bCs/>
          <w:sz w:val="28"/>
          <w:szCs w:val="28"/>
        </w:rPr>
      </w:pPr>
      <w:r>
        <w:rPr>
          <w:rFonts w:hint="eastAsia" w:ascii="宋体" w:hAnsi="宋体" w:cs="宋体"/>
          <w:bCs/>
          <w:sz w:val="28"/>
          <w:szCs w:val="28"/>
        </w:rPr>
        <w:t>如接受联合体的项目，两个以上的自然人、法人或者其他组织组成一个联合体，以一个供应商的身份共同参加政府采购活动的,联合体成员中任何一方存在不良信用记录的，视同联合体存在不良应用记录。</w:t>
      </w:r>
    </w:p>
    <w:p w14:paraId="25729FC8">
      <w:pPr>
        <w:spacing w:line="500" w:lineRule="exact"/>
        <w:ind w:firstLine="560"/>
        <w:rPr>
          <w:rFonts w:hint="eastAsia" w:ascii="宋体" w:hAnsi="宋体" w:cs="宋体"/>
          <w:bCs/>
          <w:sz w:val="28"/>
          <w:szCs w:val="28"/>
        </w:rPr>
      </w:pPr>
      <w:r>
        <w:rPr>
          <w:rFonts w:hint="eastAsia" w:ascii="宋体" w:hAnsi="宋体" w:cs="宋体"/>
          <w:bCs/>
          <w:sz w:val="28"/>
          <w:szCs w:val="28"/>
        </w:rPr>
        <w:t>5.1.2未通过资格审查的供应商人，采购人或招标代理将告知未通过资格审查的原因，评审结束后，采购人或招标代理将不再告知未通过资格审查的原因。</w:t>
      </w:r>
    </w:p>
    <w:p w14:paraId="0974BF7B">
      <w:pPr>
        <w:tabs>
          <w:tab w:val="left" w:pos="900"/>
        </w:tabs>
        <w:spacing w:line="500" w:lineRule="exact"/>
        <w:ind w:firstLine="557"/>
        <w:rPr>
          <w:rFonts w:hint="eastAsia" w:ascii="宋体" w:hAnsi="宋体" w:cs="宋体"/>
          <w:bCs/>
          <w:sz w:val="28"/>
          <w:szCs w:val="28"/>
        </w:rPr>
      </w:pPr>
      <w:r>
        <w:rPr>
          <w:rFonts w:hint="eastAsia" w:ascii="宋体" w:hAnsi="宋体" w:cs="宋体"/>
          <w:bCs/>
          <w:sz w:val="28"/>
          <w:szCs w:val="28"/>
        </w:rPr>
        <w:t>5.2在正式磋商之前，磋商小组将首先审查每份响应文件是否实质性响应了磋商文件的要求。实质性响应的响应文件应该是与磋商文件要求的全部条款、条件和规格相符，没有重大负偏离或保留。</w:t>
      </w:r>
    </w:p>
    <w:p w14:paraId="71945667">
      <w:pPr>
        <w:tabs>
          <w:tab w:val="left" w:pos="900"/>
        </w:tabs>
        <w:spacing w:line="500" w:lineRule="exact"/>
        <w:ind w:firstLine="557"/>
        <w:rPr>
          <w:rFonts w:hint="eastAsia" w:ascii="宋体" w:hAnsi="宋体" w:cs="宋体"/>
          <w:bCs/>
          <w:sz w:val="28"/>
          <w:szCs w:val="28"/>
        </w:rPr>
      </w:pPr>
      <w:r>
        <w:rPr>
          <w:rFonts w:hint="eastAsia" w:ascii="宋体" w:hAnsi="宋体" w:cs="宋体"/>
          <w:bCs/>
          <w:sz w:val="28"/>
          <w:szCs w:val="28"/>
        </w:rPr>
        <w:t>所谓重大负偏离或保留是指与磋商文件规定的实质性要求存在负偏离，或者在实质上与磋商文件不一致，而且限制了合同中买方和见证方的权利或供应商的义务，纠正这些偏离或保留将会对其他实质性响应要求的供应商的竞争地位产生不公正的影响。重大偏离由磋商小组按照少数服从多数的原则认定。磋商小组决定响应文件的响应性只根据响应文件本身的内容，而不寻求外部的证据。</w:t>
      </w:r>
    </w:p>
    <w:p w14:paraId="6A2F5D23">
      <w:pPr>
        <w:tabs>
          <w:tab w:val="left" w:pos="900"/>
        </w:tabs>
        <w:spacing w:line="500" w:lineRule="exact"/>
        <w:ind w:firstLine="557"/>
        <w:rPr>
          <w:rFonts w:hint="eastAsia" w:ascii="宋体" w:hAnsi="宋体" w:cs="宋体"/>
          <w:bCs/>
          <w:sz w:val="28"/>
          <w:szCs w:val="28"/>
        </w:rPr>
      </w:pPr>
      <w:r>
        <w:rPr>
          <w:rFonts w:hint="eastAsia" w:ascii="宋体" w:hAnsi="宋体" w:cs="宋体"/>
          <w:bCs/>
          <w:sz w:val="28"/>
          <w:szCs w:val="28"/>
        </w:rPr>
        <w:t>5.3如果响应文件实质上没有响应磋商文件的要求，磋商小组将予以拒绝，供应商不得通过修改或撤销不合要求的偏离或保留而使其响应文件成为实质性响应的文件。</w:t>
      </w:r>
    </w:p>
    <w:p w14:paraId="1B74950B">
      <w:pPr>
        <w:spacing w:line="500" w:lineRule="exact"/>
        <w:ind w:firstLine="560"/>
        <w:rPr>
          <w:rFonts w:hint="eastAsia" w:ascii="宋体" w:hAnsi="宋体" w:cs="宋体"/>
          <w:bCs/>
          <w:sz w:val="28"/>
          <w:szCs w:val="28"/>
        </w:rPr>
      </w:pPr>
      <w:r>
        <w:rPr>
          <w:rFonts w:hint="eastAsia" w:ascii="宋体" w:hAnsi="宋体" w:cs="宋体"/>
          <w:sz w:val="28"/>
          <w:szCs w:val="28"/>
        </w:rPr>
        <w:t>5.4</w:t>
      </w:r>
      <w:r>
        <w:rPr>
          <w:rFonts w:hint="eastAsia" w:ascii="宋体" w:hAnsi="宋体" w:cs="宋体"/>
          <w:bCs/>
          <w:sz w:val="28"/>
          <w:szCs w:val="28"/>
        </w:rPr>
        <w:t>磋商小组将对确定为实质性响应的文件进行进一步审核，看其是否有计算上或累加上的算术错误，修正错误的原则如下：</w:t>
      </w:r>
    </w:p>
    <w:p w14:paraId="004C1455">
      <w:pPr>
        <w:spacing w:line="500" w:lineRule="exact"/>
        <w:ind w:firstLine="560"/>
        <w:rPr>
          <w:rFonts w:hint="eastAsia" w:ascii="宋体" w:hAnsi="宋体" w:cs="宋体"/>
          <w:bCs/>
          <w:sz w:val="28"/>
          <w:szCs w:val="28"/>
        </w:rPr>
      </w:pPr>
      <w:r>
        <w:rPr>
          <w:rFonts w:hint="eastAsia" w:ascii="宋体" w:hAnsi="宋体" w:cs="宋体"/>
          <w:bCs/>
          <w:sz w:val="28"/>
          <w:szCs w:val="28"/>
        </w:rPr>
        <w:t>（1）响应文件中</w:t>
      </w:r>
      <w:r>
        <w:rPr>
          <w:rFonts w:hint="eastAsia" w:ascii="宋体" w:hAnsi="宋体" w:cs="宋体"/>
          <w:sz w:val="28"/>
          <w:szCs w:val="28"/>
        </w:rPr>
        <w:t>报价总表</w:t>
      </w:r>
      <w:r>
        <w:rPr>
          <w:rFonts w:hint="eastAsia" w:ascii="宋体" w:hAnsi="宋体" w:cs="宋体"/>
          <w:bCs/>
          <w:sz w:val="28"/>
          <w:szCs w:val="28"/>
        </w:rPr>
        <w:t>内容与响应文件中相应内容不一致的，以</w:t>
      </w:r>
      <w:r>
        <w:rPr>
          <w:rFonts w:hint="eastAsia" w:ascii="宋体" w:hAnsi="宋体" w:cs="宋体"/>
          <w:sz w:val="28"/>
          <w:szCs w:val="28"/>
        </w:rPr>
        <w:t>报价总表</w:t>
      </w:r>
      <w:r>
        <w:rPr>
          <w:rFonts w:hint="eastAsia" w:ascii="宋体" w:hAnsi="宋体" w:cs="宋体"/>
          <w:bCs/>
          <w:sz w:val="28"/>
          <w:szCs w:val="28"/>
        </w:rPr>
        <w:t>为准。</w:t>
      </w:r>
    </w:p>
    <w:p w14:paraId="015C4B16">
      <w:pPr>
        <w:spacing w:line="500" w:lineRule="exact"/>
        <w:ind w:firstLine="560"/>
        <w:rPr>
          <w:rFonts w:hint="eastAsia" w:ascii="宋体" w:hAnsi="宋体" w:cs="宋体"/>
          <w:bCs/>
          <w:sz w:val="28"/>
          <w:szCs w:val="28"/>
        </w:rPr>
      </w:pPr>
      <w:r>
        <w:rPr>
          <w:rFonts w:hint="eastAsia" w:ascii="宋体" w:hAnsi="宋体" w:cs="宋体"/>
          <w:bCs/>
          <w:sz w:val="28"/>
          <w:szCs w:val="28"/>
        </w:rPr>
        <w:t>（2）大写金额和小写金额不一致的，以大写金额为准。</w:t>
      </w:r>
    </w:p>
    <w:p w14:paraId="4F4E2A33">
      <w:pPr>
        <w:spacing w:line="500" w:lineRule="exact"/>
        <w:ind w:firstLine="560"/>
        <w:rPr>
          <w:rFonts w:hint="eastAsia" w:ascii="宋体" w:hAnsi="宋体" w:cs="宋体"/>
          <w:bCs/>
          <w:sz w:val="28"/>
          <w:szCs w:val="28"/>
        </w:rPr>
      </w:pPr>
      <w:r>
        <w:rPr>
          <w:rFonts w:hint="eastAsia" w:ascii="宋体" w:hAnsi="宋体" w:cs="宋体"/>
          <w:bCs/>
          <w:sz w:val="28"/>
          <w:szCs w:val="28"/>
        </w:rPr>
        <w:t>（3）单价金额小数点或者百分比有明显错位的，以</w:t>
      </w:r>
      <w:r>
        <w:rPr>
          <w:rFonts w:hint="eastAsia" w:ascii="宋体" w:hAnsi="宋体" w:cs="宋体"/>
          <w:sz w:val="28"/>
          <w:szCs w:val="28"/>
        </w:rPr>
        <w:t>报价总表</w:t>
      </w:r>
      <w:r>
        <w:rPr>
          <w:rFonts w:hint="eastAsia" w:ascii="宋体" w:hAnsi="宋体" w:cs="宋体"/>
          <w:bCs/>
          <w:sz w:val="28"/>
          <w:szCs w:val="28"/>
        </w:rPr>
        <w:t>的总价为准，并修改单价。</w:t>
      </w:r>
    </w:p>
    <w:p w14:paraId="34CBABBE">
      <w:pPr>
        <w:spacing w:line="500" w:lineRule="exact"/>
        <w:ind w:firstLine="560"/>
        <w:rPr>
          <w:rFonts w:hint="eastAsia" w:ascii="宋体" w:hAnsi="宋体" w:cs="宋体"/>
          <w:bCs/>
          <w:sz w:val="28"/>
          <w:szCs w:val="28"/>
        </w:rPr>
      </w:pPr>
      <w:r>
        <w:rPr>
          <w:rFonts w:hint="eastAsia" w:ascii="宋体" w:hAnsi="宋体" w:cs="宋体"/>
          <w:bCs/>
          <w:sz w:val="28"/>
          <w:szCs w:val="28"/>
        </w:rPr>
        <w:t>（4）总价金额与按单价汇总金额不一致的，以单价金额计算结果为准。</w:t>
      </w:r>
    </w:p>
    <w:p w14:paraId="4415A184">
      <w:pPr>
        <w:spacing w:line="500" w:lineRule="exact"/>
        <w:ind w:firstLine="560"/>
        <w:rPr>
          <w:rFonts w:hint="eastAsia" w:ascii="宋体" w:hAnsi="宋体" w:cs="宋体"/>
          <w:bCs/>
          <w:sz w:val="28"/>
          <w:szCs w:val="28"/>
        </w:rPr>
      </w:pPr>
      <w:r>
        <w:rPr>
          <w:rFonts w:hint="eastAsia" w:ascii="宋体" w:hAnsi="宋体" w:cs="宋体"/>
          <w:bCs/>
          <w:sz w:val="28"/>
          <w:szCs w:val="28"/>
        </w:rPr>
        <w:t>同时出现两种以上错误的，按照前款规定的顺序修正。</w:t>
      </w:r>
    </w:p>
    <w:p w14:paraId="77DD0D1D">
      <w:pPr>
        <w:spacing w:line="500" w:lineRule="exact"/>
        <w:ind w:firstLine="560"/>
        <w:rPr>
          <w:rFonts w:hint="eastAsia" w:ascii="宋体" w:hAnsi="宋体" w:cs="宋体"/>
          <w:bCs/>
          <w:sz w:val="28"/>
          <w:szCs w:val="28"/>
        </w:rPr>
      </w:pPr>
      <w:r>
        <w:rPr>
          <w:rFonts w:hint="eastAsia" w:ascii="宋体" w:hAnsi="宋体" w:cs="宋体"/>
          <w:sz w:val="28"/>
          <w:szCs w:val="28"/>
        </w:rPr>
        <w:t>5</w:t>
      </w:r>
      <w:r>
        <w:rPr>
          <w:rFonts w:hint="eastAsia" w:ascii="宋体" w:hAnsi="宋体" w:cs="宋体"/>
          <w:bCs/>
          <w:sz w:val="28"/>
          <w:szCs w:val="28"/>
        </w:rPr>
        <w:t>.5磋商小组将按上述修正错误的方法调整响应文件中的报价，并告知供应商，调整后的价格应对供应商具有约束力。如果供应商不接受修正后的价格，则其磋商活动将被拒绝。</w:t>
      </w:r>
    </w:p>
    <w:p w14:paraId="1BD13906">
      <w:pPr>
        <w:spacing w:line="500" w:lineRule="exact"/>
        <w:ind w:firstLine="560"/>
        <w:rPr>
          <w:rFonts w:hint="eastAsia" w:ascii="宋体" w:hAnsi="宋体" w:cs="宋体"/>
          <w:bCs/>
          <w:sz w:val="28"/>
          <w:szCs w:val="28"/>
        </w:rPr>
      </w:pPr>
      <w:r>
        <w:rPr>
          <w:rFonts w:hint="eastAsia" w:ascii="宋体" w:hAnsi="宋体" w:cs="宋体"/>
          <w:bCs/>
          <w:sz w:val="28"/>
          <w:szCs w:val="28"/>
        </w:rPr>
        <w:t>5.6磋商小组将允许修正响应文件中不构成重大偏离的、微小的、非正规的、不一致的或不规则的地方，但这些修改不能影响任何供应商相应的名次排列。</w:t>
      </w:r>
    </w:p>
    <w:p w14:paraId="0470A8D6">
      <w:pPr>
        <w:spacing w:line="500" w:lineRule="exact"/>
        <w:ind w:firstLine="560"/>
        <w:rPr>
          <w:rFonts w:hint="eastAsia" w:ascii="宋体" w:hAnsi="宋体" w:cs="宋体"/>
          <w:sz w:val="28"/>
          <w:szCs w:val="28"/>
        </w:rPr>
      </w:pPr>
      <w:r>
        <w:rPr>
          <w:rFonts w:hint="eastAsia" w:ascii="宋体" w:hAnsi="宋体" w:cs="宋体"/>
          <w:bCs/>
          <w:sz w:val="28"/>
          <w:szCs w:val="28"/>
        </w:rPr>
        <w:t>5.7</w:t>
      </w:r>
      <w:r>
        <w:rPr>
          <w:rFonts w:hint="eastAsia" w:ascii="宋体" w:hAnsi="宋体" w:cs="宋体"/>
          <w:sz w:val="28"/>
          <w:szCs w:val="28"/>
        </w:rPr>
        <w:t>提供相同品牌相同型号产品且通过资格审查的不同供应商参加同一合同项下磋商的，按一家供应商计算，评审后得分最高的同品牌同型号供应商获得成交人推荐资格；评审得分相同的，由磋商小组采取随机抽取的方式确定一个成交候选人，其他同品牌供应商不作为成交候选人。</w:t>
      </w:r>
    </w:p>
    <w:p w14:paraId="6C4B878C">
      <w:pPr>
        <w:spacing w:line="500" w:lineRule="exact"/>
        <w:ind w:firstLine="560"/>
        <w:rPr>
          <w:rFonts w:hint="eastAsia" w:ascii="宋体" w:hAnsi="宋体" w:cs="宋体"/>
          <w:bCs/>
          <w:sz w:val="28"/>
          <w:szCs w:val="28"/>
        </w:rPr>
      </w:pPr>
      <w:r>
        <w:rPr>
          <w:rFonts w:hint="eastAsia" w:ascii="宋体" w:hAnsi="宋体" w:cs="宋体"/>
          <w:bCs/>
          <w:sz w:val="28"/>
          <w:szCs w:val="28"/>
        </w:rPr>
        <w:t>非单一产品采购项目，磋商文件中将载明其中的核心产品。多家供应商提供的核心产品品牌相同的，按前款规定处理。</w:t>
      </w:r>
    </w:p>
    <w:p w14:paraId="39C29A00">
      <w:pPr>
        <w:spacing w:line="500" w:lineRule="exact"/>
        <w:ind w:firstLine="560"/>
        <w:rPr>
          <w:rFonts w:hint="eastAsia" w:ascii="宋体" w:hAnsi="宋体" w:cs="宋体"/>
          <w:bCs/>
          <w:sz w:val="28"/>
          <w:szCs w:val="28"/>
        </w:rPr>
      </w:pPr>
      <w:r>
        <w:rPr>
          <w:rFonts w:hint="eastAsia" w:ascii="宋体" w:hAnsi="宋体" w:cs="宋体"/>
          <w:sz w:val="28"/>
          <w:szCs w:val="28"/>
        </w:rPr>
        <w:t>5.8供应商在评审全过程中应保持通讯畅通，并安排专人与采购人及磋商小组联系。</w:t>
      </w:r>
    </w:p>
    <w:p w14:paraId="4C35780A">
      <w:pPr>
        <w:tabs>
          <w:tab w:val="left" w:pos="6555"/>
          <w:tab w:val="right" w:pos="8306"/>
        </w:tabs>
        <w:spacing w:line="500" w:lineRule="exact"/>
        <w:ind w:firstLine="560"/>
        <w:rPr>
          <w:rFonts w:hint="eastAsia" w:ascii="宋体" w:hAnsi="宋体" w:cs="宋体"/>
          <w:bCs/>
          <w:sz w:val="28"/>
          <w:szCs w:val="28"/>
        </w:rPr>
      </w:pPr>
      <w:r>
        <w:rPr>
          <w:rFonts w:hint="eastAsia" w:ascii="宋体" w:hAnsi="宋体" w:cs="宋体"/>
          <w:bCs/>
          <w:sz w:val="28"/>
          <w:szCs w:val="28"/>
        </w:rPr>
        <w:t>6. 被认定为未实质性响应磋商文件的响应文件的情形。</w:t>
      </w:r>
    </w:p>
    <w:p w14:paraId="3DA50F52">
      <w:pPr>
        <w:tabs>
          <w:tab w:val="left" w:pos="6555"/>
          <w:tab w:val="right" w:pos="8306"/>
        </w:tabs>
        <w:spacing w:line="500" w:lineRule="exact"/>
        <w:ind w:firstLine="560"/>
        <w:rPr>
          <w:rFonts w:hint="eastAsia" w:ascii="宋体" w:hAnsi="宋体" w:cs="宋体"/>
          <w:b/>
          <w:sz w:val="28"/>
          <w:szCs w:val="28"/>
        </w:rPr>
      </w:pPr>
      <w:r>
        <w:rPr>
          <w:rFonts w:hint="eastAsia" w:ascii="宋体" w:hAnsi="宋体" w:cs="宋体"/>
          <w:bCs/>
          <w:sz w:val="28"/>
          <w:szCs w:val="28"/>
        </w:rPr>
        <w:t>6.1出现下列情形之一的，作无效响应处理。</w:t>
      </w:r>
    </w:p>
    <w:p w14:paraId="1BFDEB92">
      <w:pPr>
        <w:spacing w:line="500" w:lineRule="exact"/>
        <w:ind w:firstLine="560"/>
        <w:rPr>
          <w:rFonts w:hint="eastAsia" w:ascii="宋体" w:hAnsi="宋体" w:cs="宋体"/>
          <w:bCs/>
          <w:sz w:val="28"/>
          <w:szCs w:val="28"/>
        </w:rPr>
      </w:pPr>
      <w:r>
        <w:rPr>
          <w:rFonts w:hint="eastAsia" w:ascii="宋体" w:hAnsi="宋体" w:cs="宋体"/>
          <w:bCs/>
          <w:sz w:val="28"/>
          <w:szCs w:val="28"/>
        </w:rPr>
        <w:t>6.1.1磋商响应文件未按照磋商文件的要求进行制作或密封的。</w:t>
      </w:r>
    </w:p>
    <w:p w14:paraId="1BB5DE6C">
      <w:pPr>
        <w:spacing w:line="500" w:lineRule="exact"/>
        <w:ind w:firstLine="560"/>
        <w:rPr>
          <w:rFonts w:hint="eastAsia" w:ascii="宋体" w:hAnsi="宋体" w:cs="宋体"/>
          <w:bCs/>
          <w:sz w:val="28"/>
          <w:szCs w:val="28"/>
        </w:rPr>
      </w:pPr>
      <w:r>
        <w:rPr>
          <w:rFonts w:hint="eastAsia" w:ascii="宋体" w:hAnsi="宋体" w:cs="宋体"/>
          <w:bCs/>
          <w:sz w:val="28"/>
          <w:szCs w:val="28"/>
        </w:rPr>
        <w:t>6.1.2 磋商响应文件未按磋商文件的要求签字或签章的。</w:t>
      </w:r>
    </w:p>
    <w:p w14:paraId="7B1D90AD">
      <w:pPr>
        <w:spacing w:line="500" w:lineRule="exact"/>
        <w:ind w:firstLine="560"/>
        <w:rPr>
          <w:rFonts w:hint="eastAsia" w:ascii="宋体" w:hAnsi="宋体" w:cs="宋体"/>
          <w:bCs/>
          <w:sz w:val="28"/>
          <w:szCs w:val="28"/>
        </w:rPr>
      </w:pPr>
      <w:r>
        <w:rPr>
          <w:rFonts w:hint="eastAsia" w:ascii="宋体" w:hAnsi="宋体" w:cs="宋体"/>
          <w:bCs/>
          <w:sz w:val="28"/>
          <w:szCs w:val="28"/>
        </w:rPr>
        <w:t>6.1.3磋商响应文件未按规定加盖供应商印章，投标报价部分未盖章的。</w:t>
      </w:r>
    </w:p>
    <w:p w14:paraId="1A6B51DD">
      <w:pPr>
        <w:spacing w:line="500" w:lineRule="exact"/>
        <w:ind w:firstLine="560"/>
        <w:rPr>
          <w:rFonts w:hint="eastAsia" w:ascii="宋体" w:hAnsi="宋体" w:cs="宋体"/>
          <w:bCs/>
          <w:sz w:val="28"/>
          <w:szCs w:val="28"/>
        </w:rPr>
      </w:pPr>
      <w:r>
        <w:rPr>
          <w:rFonts w:hint="eastAsia" w:ascii="宋体" w:hAnsi="宋体" w:cs="宋体"/>
          <w:bCs/>
          <w:sz w:val="28"/>
          <w:szCs w:val="28"/>
        </w:rPr>
        <w:t>6.1.4磋商响应文件的关键内容字迹模糊，无法辨认的。</w:t>
      </w:r>
    </w:p>
    <w:p w14:paraId="665BD4FB">
      <w:pPr>
        <w:spacing w:line="500" w:lineRule="exact"/>
        <w:ind w:firstLine="560"/>
        <w:rPr>
          <w:rFonts w:hint="eastAsia" w:ascii="宋体" w:hAnsi="宋体" w:cs="宋体"/>
          <w:bCs/>
          <w:sz w:val="28"/>
          <w:szCs w:val="28"/>
        </w:rPr>
      </w:pPr>
      <w:r>
        <w:rPr>
          <w:rFonts w:hint="eastAsia" w:ascii="宋体" w:hAnsi="宋体" w:cs="宋体"/>
          <w:bCs/>
          <w:sz w:val="28"/>
          <w:szCs w:val="28"/>
        </w:rPr>
        <w:t>6.1.5不具备磋商文件中规定的资格要求的。</w:t>
      </w:r>
    </w:p>
    <w:p w14:paraId="764156DC">
      <w:pPr>
        <w:spacing w:line="500" w:lineRule="exact"/>
        <w:ind w:firstLine="560"/>
        <w:rPr>
          <w:rFonts w:hint="eastAsia" w:ascii="宋体" w:hAnsi="宋体" w:cs="宋体"/>
          <w:bCs/>
          <w:sz w:val="28"/>
          <w:szCs w:val="28"/>
        </w:rPr>
      </w:pPr>
      <w:r>
        <w:rPr>
          <w:rFonts w:hint="eastAsia" w:ascii="宋体" w:hAnsi="宋体" w:cs="宋体"/>
          <w:bCs/>
          <w:sz w:val="28"/>
          <w:szCs w:val="28"/>
        </w:rPr>
        <w:t>6.1.6供应商属于投标禁止情形的。</w:t>
      </w:r>
    </w:p>
    <w:p w14:paraId="65C1389B">
      <w:pPr>
        <w:spacing w:line="500" w:lineRule="exact"/>
        <w:ind w:firstLine="560"/>
        <w:rPr>
          <w:rFonts w:hint="eastAsia" w:ascii="宋体" w:hAnsi="宋体" w:cs="宋体"/>
          <w:bCs/>
          <w:sz w:val="28"/>
          <w:szCs w:val="28"/>
        </w:rPr>
      </w:pPr>
      <w:r>
        <w:rPr>
          <w:rFonts w:hint="eastAsia" w:ascii="宋体" w:hAnsi="宋体" w:cs="宋体"/>
          <w:bCs/>
          <w:sz w:val="28"/>
          <w:szCs w:val="28"/>
        </w:rPr>
        <w:t>6.1.7磋商响应文件除价格标外出现报价的。</w:t>
      </w:r>
    </w:p>
    <w:p w14:paraId="56E9A1E6">
      <w:pPr>
        <w:spacing w:line="500" w:lineRule="exact"/>
        <w:ind w:firstLine="560"/>
        <w:rPr>
          <w:rFonts w:hint="eastAsia" w:ascii="宋体" w:hAnsi="宋体" w:cs="宋体"/>
          <w:bCs/>
          <w:sz w:val="28"/>
          <w:szCs w:val="28"/>
        </w:rPr>
      </w:pPr>
      <w:r>
        <w:rPr>
          <w:rFonts w:hint="eastAsia" w:ascii="宋体" w:hAnsi="宋体" w:cs="宋体"/>
          <w:bCs/>
          <w:sz w:val="28"/>
          <w:szCs w:val="28"/>
        </w:rPr>
        <w:t xml:space="preserve">6.1.8响应报价超过了采购预算或最高限价的。 </w:t>
      </w:r>
    </w:p>
    <w:p w14:paraId="3493B23C">
      <w:pPr>
        <w:spacing w:line="500" w:lineRule="exact"/>
        <w:ind w:firstLine="560"/>
        <w:rPr>
          <w:rFonts w:hint="eastAsia" w:ascii="宋体" w:hAnsi="宋体" w:cs="宋体"/>
          <w:bCs/>
          <w:sz w:val="28"/>
          <w:szCs w:val="28"/>
        </w:rPr>
      </w:pPr>
      <w:r>
        <w:rPr>
          <w:rFonts w:hint="eastAsia" w:ascii="宋体" w:hAnsi="宋体" w:cs="宋体"/>
          <w:bCs/>
          <w:sz w:val="28"/>
          <w:szCs w:val="28"/>
        </w:rPr>
        <w:t>6.1.9同一供应商提交两个（含两个）以上不同的响应报价的。</w:t>
      </w:r>
    </w:p>
    <w:p w14:paraId="622DC4E2">
      <w:pPr>
        <w:spacing w:line="500" w:lineRule="exact"/>
        <w:ind w:firstLine="560"/>
        <w:rPr>
          <w:rFonts w:hint="eastAsia" w:ascii="宋体" w:hAnsi="宋体" w:cs="宋体"/>
          <w:bCs/>
          <w:sz w:val="28"/>
          <w:szCs w:val="28"/>
        </w:rPr>
      </w:pPr>
      <w:r>
        <w:rPr>
          <w:rFonts w:hint="eastAsia" w:ascii="宋体" w:hAnsi="宋体" w:cs="宋体"/>
          <w:bCs/>
          <w:sz w:val="28"/>
          <w:szCs w:val="28"/>
        </w:rPr>
        <w:t>6.1.10供应商的磋商最终报价大于自己前一轮的。</w:t>
      </w:r>
    </w:p>
    <w:p w14:paraId="21E7DD7C">
      <w:pPr>
        <w:spacing w:line="500" w:lineRule="exact"/>
        <w:ind w:firstLine="560"/>
        <w:rPr>
          <w:rFonts w:hint="eastAsia" w:ascii="宋体" w:hAnsi="宋体" w:cs="宋体"/>
          <w:bCs/>
          <w:sz w:val="28"/>
          <w:szCs w:val="28"/>
        </w:rPr>
      </w:pPr>
      <w:r>
        <w:rPr>
          <w:rFonts w:hint="eastAsia" w:ascii="宋体" w:hAnsi="宋体" w:cs="宋体"/>
          <w:bCs/>
          <w:sz w:val="28"/>
          <w:szCs w:val="28"/>
        </w:rPr>
        <w:t>6.1.11不符合法律、法规和磋商文件中规定的其他实质性要求的。</w:t>
      </w:r>
    </w:p>
    <w:p w14:paraId="695F5D3E">
      <w:pPr>
        <w:spacing w:line="500" w:lineRule="exact"/>
        <w:ind w:firstLine="560"/>
        <w:rPr>
          <w:rFonts w:hint="eastAsia" w:ascii="宋体" w:hAnsi="宋体" w:cs="宋体"/>
          <w:bCs/>
          <w:sz w:val="28"/>
          <w:szCs w:val="28"/>
        </w:rPr>
      </w:pPr>
      <w:r>
        <w:rPr>
          <w:rFonts w:hint="eastAsia" w:ascii="宋体" w:hAnsi="宋体" w:cs="宋体"/>
          <w:bCs/>
          <w:sz w:val="28"/>
          <w:szCs w:val="28"/>
        </w:rPr>
        <w:t>6.1.12供应商被 “信用中国”网站列入失信被执行人或重大税收违法案件当事人名单或政府采购严重失信行为记录名单。或查询“信用中国”网站后发现供应商存在其他不符合《中华人民共和国政府采购法》第二十二条规定条件的信用记录。</w:t>
      </w:r>
    </w:p>
    <w:p w14:paraId="2918CF25">
      <w:pPr>
        <w:spacing w:line="500" w:lineRule="exact"/>
        <w:ind w:firstLine="560"/>
        <w:rPr>
          <w:rFonts w:hint="eastAsia" w:ascii="宋体" w:hAnsi="宋体" w:cs="宋体"/>
          <w:bCs/>
          <w:sz w:val="28"/>
          <w:szCs w:val="28"/>
        </w:rPr>
      </w:pPr>
      <w:r>
        <w:rPr>
          <w:rFonts w:hint="eastAsia" w:ascii="宋体" w:hAnsi="宋体" w:cs="宋体"/>
          <w:bCs/>
          <w:sz w:val="28"/>
          <w:szCs w:val="28"/>
        </w:rPr>
        <w:t>6.1.13 响应文件含有采购人不能接受的附加条件的。</w:t>
      </w:r>
    </w:p>
    <w:p w14:paraId="127064C2">
      <w:pPr>
        <w:spacing w:line="500" w:lineRule="exact"/>
        <w:ind w:firstLine="560"/>
        <w:rPr>
          <w:rFonts w:hint="eastAsia" w:ascii="宋体" w:hAnsi="宋体" w:cs="宋体"/>
          <w:bCs/>
          <w:sz w:val="28"/>
          <w:szCs w:val="28"/>
        </w:rPr>
      </w:pPr>
      <w:r>
        <w:rPr>
          <w:rFonts w:hint="eastAsia" w:ascii="宋体" w:hAnsi="宋体" w:cs="宋体"/>
          <w:bCs/>
          <w:sz w:val="28"/>
          <w:szCs w:val="28"/>
        </w:rPr>
        <w:t>6.1.14磋商小组认为供应商的报价明显低于其他通过资格审查供应商的报价，有可能影响产品质量或者不能诚信履约的，将通过电话形式要求其在合理的时间内提供说明，必要时提交相关证明材料；供应商不能证明其报价合理性的，磋商小组应当将其作为无效响应处理。</w:t>
      </w:r>
    </w:p>
    <w:p w14:paraId="61EAAC47">
      <w:pPr>
        <w:spacing w:line="500" w:lineRule="exact"/>
        <w:ind w:firstLine="560"/>
        <w:rPr>
          <w:rFonts w:hint="eastAsia" w:ascii="宋体" w:hAnsi="宋体" w:cs="宋体"/>
          <w:bCs/>
          <w:sz w:val="28"/>
          <w:szCs w:val="28"/>
        </w:rPr>
      </w:pPr>
      <w:r>
        <w:rPr>
          <w:rFonts w:hint="eastAsia" w:ascii="宋体" w:hAnsi="宋体" w:cs="宋体"/>
          <w:bCs/>
          <w:sz w:val="28"/>
          <w:szCs w:val="28"/>
        </w:rPr>
        <w:t>6.1.15本项目采购产品被财政部、国家发改委、生态环境部等列入“节能产品品目清单”、“环境标志产品品目清单”强制采购范围，而供应商所投标产品不在强制采购范围内的。（所投产品如属于政府强制采购节能产品品目清单范围内，响应文件中必须提供国家确定的认证机构出具的、处于有效期之内的该节能产品认证证书复印件）。</w:t>
      </w:r>
    </w:p>
    <w:p w14:paraId="4517185B">
      <w:pPr>
        <w:spacing w:line="500" w:lineRule="exact"/>
        <w:ind w:firstLine="560"/>
        <w:rPr>
          <w:rFonts w:hint="eastAsia" w:ascii="宋体" w:hAnsi="宋体" w:cs="宋体"/>
          <w:bCs/>
          <w:sz w:val="28"/>
          <w:szCs w:val="28"/>
        </w:rPr>
      </w:pPr>
      <w:r>
        <w:rPr>
          <w:rFonts w:hint="eastAsia" w:ascii="宋体" w:hAnsi="宋体" w:cs="宋体"/>
          <w:bCs/>
          <w:sz w:val="28"/>
          <w:szCs w:val="28"/>
        </w:rPr>
        <w:t>6.1.16投标人的商务技术部分得分相差异常悬殊，评标委员会一致认为得分畸低者有可能影响产品质量或者不能诚信履约的。</w:t>
      </w:r>
    </w:p>
    <w:p w14:paraId="15FE3F9E">
      <w:pPr>
        <w:spacing w:line="500" w:lineRule="exact"/>
        <w:ind w:firstLine="560"/>
        <w:rPr>
          <w:rFonts w:hint="eastAsia" w:ascii="宋体" w:hAnsi="宋体" w:cs="宋体"/>
          <w:bCs/>
          <w:sz w:val="28"/>
          <w:szCs w:val="28"/>
        </w:rPr>
      </w:pPr>
      <w:r>
        <w:rPr>
          <w:rFonts w:hint="eastAsia" w:ascii="宋体" w:hAnsi="宋体" w:cs="宋体"/>
          <w:bCs/>
          <w:sz w:val="28"/>
          <w:szCs w:val="28"/>
        </w:rPr>
        <w:t>6.1.17商务技术分不满</w:t>
      </w:r>
      <w:r>
        <w:rPr>
          <w:rFonts w:hint="eastAsia" w:ascii="宋体" w:hAnsi="宋体" w:cs="宋体"/>
          <w:bCs/>
          <w:sz w:val="28"/>
          <w:szCs w:val="28"/>
          <w:lang w:val="en-US" w:eastAsia="zh-CN"/>
        </w:rPr>
        <w:t>45</w:t>
      </w:r>
      <w:r>
        <w:rPr>
          <w:rFonts w:hint="eastAsia" w:ascii="宋体" w:hAnsi="宋体" w:cs="宋体"/>
          <w:bCs/>
          <w:sz w:val="28"/>
          <w:szCs w:val="28"/>
        </w:rPr>
        <w:t>分的；</w:t>
      </w:r>
    </w:p>
    <w:p w14:paraId="28B6D0BF">
      <w:pPr>
        <w:spacing w:line="500" w:lineRule="exact"/>
        <w:ind w:firstLine="560"/>
        <w:rPr>
          <w:rFonts w:hint="eastAsia" w:ascii="宋体" w:hAnsi="宋体" w:cs="宋体"/>
          <w:bCs/>
          <w:sz w:val="28"/>
          <w:szCs w:val="28"/>
        </w:rPr>
      </w:pPr>
      <w:r>
        <w:rPr>
          <w:rFonts w:hint="eastAsia" w:ascii="宋体" w:hAnsi="宋体" w:cs="宋体"/>
          <w:bCs/>
          <w:sz w:val="28"/>
          <w:szCs w:val="28"/>
        </w:rPr>
        <w:t>6.1.18其他法律、法规及本磋商文件规定的属无效响应的情形。</w:t>
      </w:r>
    </w:p>
    <w:p w14:paraId="7A531041">
      <w:pPr>
        <w:spacing w:line="500" w:lineRule="exact"/>
        <w:ind w:firstLine="570"/>
        <w:rPr>
          <w:rFonts w:hint="eastAsia" w:ascii="宋体" w:hAnsi="宋体" w:cs="宋体"/>
          <w:bCs/>
          <w:sz w:val="28"/>
          <w:szCs w:val="28"/>
        </w:rPr>
      </w:pPr>
      <w:r>
        <w:rPr>
          <w:rFonts w:hint="eastAsia" w:ascii="宋体" w:hAnsi="宋体" w:cs="宋体"/>
          <w:bCs/>
          <w:sz w:val="28"/>
          <w:szCs w:val="28"/>
        </w:rPr>
        <w:t>6.2出现下列情形之一的，磋商失败。</w:t>
      </w:r>
    </w:p>
    <w:p w14:paraId="469FC741">
      <w:pPr>
        <w:spacing w:line="500" w:lineRule="exact"/>
        <w:ind w:firstLine="570"/>
        <w:rPr>
          <w:rFonts w:hint="eastAsia" w:ascii="宋体" w:hAnsi="宋体" w:cs="宋体"/>
          <w:bCs/>
          <w:sz w:val="28"/>
          <w:szCs w:val="28"/>
          <w:highlight w:val="red"/>
        </w:rPr>
      </w:pPr>
      <w:r>
        <w:rPr>
          <w:rFonts w:hint="eastAsia" w:ascii="宋体" w:hAnsi="宋体" w:cs="宋体"/>
          <w:bCs/>
          <w:sz w:val="28"/>
          <w:szCs w:val="28"/>
        </w:rPr>
        <w:t>6.2.1符合条件的供应商或者对磋商文件作实质响应的供应商不足3家的（市场竞争不充分的科研项目，以及需要扶持的科技成果转化项目可以是2家）；</w:t>
      </w:r>
    </w:p>
    <w:p w14:paraId="481A0374">
      <w:pPr>
        <w:spacing w:line="500" w:lineRule="exact"/>
        <w:ind w:firstLine="555"/>
        <w:rPr>
          <w:rFonts w:hint="eastAsia" w:ascii="宋体" w:hAnsi="宋体" w:cs="宋体"/>
          <w:bCs/>
          <w:sz w:val="28"/>
          <w:szCs w:val="28"/>
        </w:rPr>
      </w:pPr>
      <w:r>
        <w:rPr>
          <w:rFonts w:hint="eastAsia" w:ascii="宋体" w:hAnsi="宋体" w:cs="宋体"/>
          <w:bCs/>
          <w:sz w:val="28"/>
          <w:szCs w:val="28"/>
        </w:rPr>
        <w:t>6.2.2出现影响采购公正的违法违规行为的；</w:t>
      </w:r>
    </w:p>
    <w:p w14:paraId="6E712DD1">
      <w:pPr>
        <w:spacing w:line="500" w:lineRule="exact"/>
        <w:ind w:firstLine="555"/>
        <w:rPr>
          <w:rFonts w:hint="eastAsia" w:ascii="宋体" w:hAnsi="宋体" w:cs="宋体"/>
          <w:bCs/>
          <w:sz w:val="28"/>
          <w:szCs w:val="28"/>
        </w:rPr>
      </w:pPr>
      <w:r>
        <w:rPr>
          <w:rFonts w:hint="eastAsia" w:ascii="宋体" w:hAnsi="宋体" w:cs="宋体"/>
          <w:bCs/>
          <w:sz w:val="28"/>
          <w:szCs w:val="28"/>
        </w:rPr>
        <w:t>6.2.3因重大变故，采购任务取消的。</w:t>
      </w:r>
    </w:p>
    <w:p w14:paraId="42CA1605">
      <w:pPr>
        <w:spacing w:line="500" w:lineRule="exact"/>
        <w:ind w:firstLine="560"/>
        <w:rPr>
          <w:rFonts w:hint="eastAsia" w:ascii="宋体" w:hAnsi="宋体" w:cs="宋体"/>
          <w:bCs/>
          <w:sz w:val="28"/>
          <w:szCs w:val="28"/>
        </w:rPr>
      </w:pPr>
      <w:r>
        <w:rPr>
          <w:rFonts w:hint="eastAsia" w:ascii="宋体" w:hAnsi="宋体" w:cs="宋体"/>
          <w:bCs/>
          <w:sz w:val="28"/>
          <w:szCs w:val="28"/>
        </w:rPr>
        <w:t>6.2.4磋商小组认定磋商文件存在歧义、重大缺陷导致评审工作无法进行。</w:t>
      </w:r>
    </w:p>
    <w:p w14:paraId="22B78E12">
      <w:pPr>
        <w:spacing w:line="500" w:lineRule="exact"/>
        <w:ind w:firstLine="560"/>
        <w:rPr>
          <w:rFonts w:hint="eastAsia" w:ascii="宋体" w:hAnsi="宋体" w:cs="宋体"/>
          <w:bCs/>
          <w:sz w:val="28"/>
          <w:szCs w:val="28"/>
        </w:rPr>
      </w:pPr>
      <w:r>
        <w:rPr>
          <w:rFonts w:hint="eastAsia" w:ascii="宋体" w:hAnsi="宋体" w:cs="宋体"/>
          <w:bCs/>
          <w:sz w:val="28"/>
          <w:szCs w:val="28"/>
        </w:rPr>
        <w:t>6.3 响应</w:t>
      </w:r>
      <w:r>
        <w:rPr>
          <w:rFonts w:hint="eastAsia" w:ascii="宋体" w:hAnsi="宋体" w:cs="宋体"/>
          <w:sz w:val="28"/>
          <w:szCs w:val="28"/>
        </w:rPr>
        <w:t>文件提交</w:t>
      </w:r>
      <w:r>
        <w:rPr>
          <w:rFonts w:hint="eastAsia" w:ascii="宋体" w:hAnsi="宋体" w:cs="宋体"/>
          <w:bCs/>
          <w:sz w:val="28"/>
          <w:szCs w:val="28"/>
        </w:rPr>
        <w:t>截止时间结束后参加磋商的供应商不足三家的处理：</w:t>
      </w:r>
    </w:p>
    <w:p w14:paraId="66801E29">
      <w:pPr>
        <w:spacing w:line="500" w:lineRule="exact"/>
        <w:ind w:firstLine="560"/>
        <w:rPr>
          <w:rFonts w:hint="eastAsia" w:ascii="宋体" w:hAnsi="宋体" w:cs="宋体"/>
          <w:bCs/>
          <w:sz w:val="28"/>
          <w:szCs w:val="28"/>
        </w:rPr>
      </w:pPr>
      <w:r>
        <w:rPr>
          <w:rFonts w:hint="eastAsia" w:ascii="宋体" w:hAnsi="宋体" w:cs="宋体"/>
          <w:bCs/>
          <w:sz w:val="28"/>
          <w:szCs w:val="28"/>
        </w:rPr>
        <w:t>6.3.1如出现响应</w:t>
      </w:r>
      <w:r>
        <w:rPr>
          <w:rFonts w:hint="eastAsia" w:ascii="宋体" w:hAnsi="宋体" w:cs="宋体"/>
          <w:sz w:val="28"/>
          <w:szCs w:val="28"/>
        </w:rPr>
        <w:t>文件提交</w:t>
      </w:r>
      <w:r>
        <w:rPr>
          <w:rFonts w:hint="eastAsia" w:ascii="宋体" w:hAnsi="宋体" w:cs="宋体"/>
          <w:bCs/>
          <w:sz w:val="28"/>
          <w:szCs w:val="28"/>
        </w:rPr>
        <w:t>截止时间结束后参加磋商的供应商或者在评审期间对磋商文件做出实质响应的供应商不足三家情况，按政府采购相关规定执行。</w:t>
      </w:r>
    </w:p>
    <w:bookmarkEnd w:id="75"/>
    <w:bookmarkEnd w:id="76"/>
    <w:bookmarkEnd w:id="77"/>
    <w:p w14:paraId="16EDA36C">
      <w:pPr>
        <w:keepNext/>
        <w:keepLines/>
        <w:spacing w:line="500" w:lineRule="exact"/>
        <w:outlineLvl w:val="2"/>
        <w:rPr>
          <w:rFonts w:hint="eastAsia" w:ascii="宋体" w:hAnsi="宋体" w:cs="宋体"/>
          <w:b/>
          <w:bCs/>
          <w:sz w:val="28"/>
          <w:szCs w:val="28"/>
        </w:rPr>
      </w:pPr>
      <w:bookmarkStart w:id="78" w:name="_Toc120614219"/>
      <w:r>
        <w:rPr>
          <w:rFonts w:hint="eastAsia" w:ascii="宋体" w:hAnsi="宋体" w:cs="宋体"/>
          <w:b/>
          <w:bCs/>
          <w:sz w:val="28"/>
          <w:szCs w:val="28"/>
        </w:rPr>
        <w:t>（六）</w:t>
      </w:r>
      <w:bookmarkEnd w:id="78"/>
      <w:r>
        <w:rPr>
          <w:rFonts w:hint="eastAsia" w:ascii="宋体" w:hAnsi="宋体" w:cs="宋体"/>
          <w:b/>
          <w:bCs/>
          <w:sz w:val="28"/>
          <w:szCs w:val="28"/>
        </w:rPr>
        <w:t>成交</w:t>
      </w:r>
    </w:p>
    <w:p w14:paraId="48AD4A84">
      <w:pPr>
        <w:keepNext/>
        <w:spacing w:line="500" w:lineRule="exact"/>
        <w:ind w:firstLine="420"/>
        <w:outlineLvl w:val="3"/>
        <w:rPr>
          <w:rFonts w:hint="eastAsia" w:ascii="宋体" w:hAnsi="宋体" w:cs="宋体"/>
          <w:b/>
          <w:sz w:val="28"/>
          <w:szCs w:val="28"/>
        </w:rPr>
      </w:pPr>
      <w:bookmarkStart w:id="79" w:name="_Toc20823310"/>
      <w:bookmarkStart w:id="80" w:name="_Toc16938554"/>
      <w:r>
        <w:rPr>
          <w:rFonts w:hint="eastAsia" w:ascii="宋体" w:hAnsi="宋体" w:cs="宋体"/>
          <w:sz w:val="28"/>
          <w:szCs w:val="28"/>
        </w:rPr>
        <w:t>1.确定</w:t>
      </w:r>
      <w:bookmarkEnd w:id="79"/>
      <w:bookmarkEnd w:id="80"/>
      <w:r>
        <w:rPr>
          <w:rFonts w:hint="eastAsia" w:ascii="宋体" w:hAnsi="宋体" w:cs="宋体"/>
          <w:sz w:val="28"/>
          <w:szCs w:val="28"/>
        </w:rPr>
        <w:t>成交单位</w:t>
      </w:r>
    </w:p>
    <w:p w14:paraId="67CD22C6">
      <w:pPr>
        <w:spacing w:line="500" w:lineRule="exact"/>
        <w:ind w:firstLine="560"/>
        <w:rPr>
          <w:rFonts w:hint="eastAsia" w:ascii="宋体" w:hAnsi="宋体" w:cs="宋体"/>
          <w:bCs/>
          <w:sz w:val="28"/>
          <w:szCs w:val="28"/>
        </w:rPr>
      </w:pPr>
      <w:r>
        <w:rPr>
          <w:rFonts w:hint="eastAsia" w:ascii="宋体" w:hAnsi="宋体" w:cs="宋体"/>
          <w:bCs/>
          <w:sz w:val="28"/>
          <w:szCs w:val="28"/>
        </w:rPr>
        <w:t>1.1成交候选供应商的选取原则和数量见磋商文件第四部分规定。</w:t>
      </w:r>
    </w:p>
    <w:p w14:paraId="7155B928">
      <w:pPr>
        <w:spacing w:line="500" w:lineRule="exact"/>
        <w:ind w:firstLine="560"/>
        <w:rPr>
          <w:rFonts w:hint="eastAsia" w:ascii="宋体" w:hAnsi="宋体" w:cs="宋体"/>
          <w:bCs/>
          <w:sz w:val="28"/>
          <w:szCs w:val="28"/>
        </w:rPr>
      </w:pPr>
      <w:r>
        <w:rPr>
          <w:rFonts w:hint="eastAsia" w:ascii="宋体" w:hAnsi="宋体" w:cs="宋体"/>
          <w:bCs/>
          <w:sz w:val="28"/>
          <w:szCs w:val="28"/>
        </w:rPr>
        <w:t>1.2采购人授权磋商小组在成交候选供应商中直接确定成交供应商。</w:t>
      </w:r>
    </w:p>
    <w:p w14:paraId="09B518F3">
      <w:pPr>
        <w:spacing w:line="500" w:lineRule="exact"/>
        <w:ind w:firstLine="560"/>
        <w:rPr>
          <w:rFonts w:hint="eastAsia" w:ascii="宋体" w:hAnsi="宋体" w:cs="宋体"/>
          <w:sz w:val="28"/>
          <w:szCs w:val="28"/>
        </w:rPr>
      </w:pPr>
      <w:r>
        <w:rPr>
          <w:rFonts w:hint="eastAsia" w:ascii="宋体" w:hAnsi="宋体" w:cs="宋体"/>
          <w:bCs/>
          <w:sz w:val="28"/>
          <w:szCs w:val="28"/>
        </w:rPr>
        <w:t xml:space="preserve">1.3 </w:t>
      </w:r>
      <w:r>
        <w:rPr>
          <w:rFonts w:hint="eastAsia" w:ascii="宋体" w:hAnsi="宋体" w:cs="宋体"/>
          <w:sz w:val="28"/>
          <w:szCs w:val="28"/>
        </w:rPr>
        <w:t>采购人将在“</w:t>
      </w:r>
      <w:r>
        <w:rPr>
          <w:rFonts w:hint="eastAsia" w:ascii="宋体" w:hAnsi="宋体" w:cs="宋体"/>
          <w:sz w:val="28"/>
          <w:szCs w:val="28"/>
          <w:lang w:val="en-US" w:eastAsia="zh-CN"/>
        </w:rPr>
        <w:t>启东市人民政府网</w:t>
      </w:r>
      <w:r>
        <w:rPr>
          <w:rFonts w:hint="eastAsia" w:ascii="宋体" w:hAnsi="宋体" w:cs="宋体"/>
          <w:sz w:val="28"/>
          <w:szCs w:val="28"/>
        </w:rPr>
        <w:t>”发布成交结果公告，公告期限为1个工作日。</w:t>
      </w:r>
    </w:p>
    <w:p w14:paraId="50CE0201">
      <w:pPr>
        <w:spacing w:line="500" w:lineRule="exact"/>
        <w:ind w:firstLine="560"/>
        <w:rPr>
          <w:rFonts w:hint="eastAsia" w:ascii="宋体" w:hAnsi="宋体" w:cs="宋体"/>
          <w:sz w:val="28"/>
          <w:szCs w:val="28"/>
        </w:rPr>
      </w:pPr>
      <w:r>
        <w:rPr>
          <w:rFonts w:hint="eastAsia" w:ascii="宋体" w:hAnsi="宋体" w:cs="宋体"/>
          <w:sz w:val="28"/>
          <w:szCs w:val="28"/>
        </w:rPr>
        <w:t>1.4  若有充分证据证明，成交供应商出现下列情况之一的，一经查实，将被取消成交资格：</w:t>
      </w:r>
    </w:p>
    <w:p w14:paraId="3234B1FC">
      <w:pPr>
        <w:spacing w:line="500" w:lineRule="exact"/>
        <w:ind w:firstLine="560"/>
        <w:rPr>
          <w:rFonts w:hint="eastAsia" w:ascii="宋体" w:hAnsi="宋体" w:cs="宋体"/>
          <w:sz w:val="28"/>
          <w:szCs w:val="28"/>
        </w:rPr>
      </w:pPr>
      <w:r>
        <w:rPr>
          <w:rFonts w:hint="eastAsia" w:ascii="宋体" w:hAnsi="宋体" w:cs="宋体"/>
          <w:sz w:val="28"/>
          <w:szCs w:val="28"/>
        </w:rPr>
        <w:t>1.4.1提供虚假材料谋取成交的。</w:t>
      </w:r>
    </w:p>
    <w:p w14:paraId="70458237">
      <w:pPr>
        <w:spacing w:line="500" w:lineRule="exact"/>
        <w:ind w:firstLine="560"/>
        <w:rPr>
          <w:rFonts w:hint="eastAsia" w:ascii="宋体" w:hAnsi="宋体" w:cs="宋体"/>
          <w:sz w:val="28"/>
          <w:szCs w:val="28"/>
        </w:rPr>
      </w:pPr>
      <w:r>
        <w:rPr>
          <w:rFonts w:hint="eastAsia" w:ascii="宋体" w:hAnsi="宋体" w:cs="宋体"/>
          <w:sz w:val="28"/>
          <w:szCs w:val="28"/>
        </w:rPr>
        <w:t>1.4.2向采购人行贿或者评审专家提供其他不正当利益的。</w:t>
      </w:r>
    </w:p>
    <w:p w14:paraId="5AD1408C">
      <w:pPr>
        <w:spacing w:line="500" w:lineRule="exact"/>
        <w:ind w:firstLine="560"/>
        <w:rPr>
          <w:rFonts w:hint="eastAsia" w:ascii="宋体" w:hAnsi="宋体" w:cs="宋体"/>
          <w:sz w:val="28"/>
          <w:szCs w:val="28"/>
        </w:rPr>
      </w:pPr>
      <w:r>
        <w:rPr>
          <w:rFonts w:hint="eastAsia" w:ascii="宋体" w:hAnsi="宋体" w:cs="宋体"/>
          <w:sz w:val="28"/>
          <w:szCs w:val="28"/>
        </w:rPr>
        <w:t>1.4.3恶意竞争，最终总报价明显低于其自身合理成本且又无法提供证明的。</w:t>
      </w:r>
    </w:p>
    <w:p w14:paraId="63F71D1D">
      <w:pPr>
        <w:spacing w:line="500" w:lineRule="exact"/>
        <w:ind w:firstLine="560"/>
        <w:rPr>
          <w:rFonts w:hint="eastAsia" w:ascii="宋体" w:hAnsi="宋体" w:cs="宋体"/>
          <w:sz w:val="28"/>
          <w:szCs w:val="28"/>
        </w:rPr>
      </w:pPr>
      <w:r>
        <w:rPr>
          <w:rFonts w:hint="eastAsia" w:ascii="宋体" w:hAnsi="宋体" w:cs="宋体"/>
          <w:sz w:val="28"/>
          <w:szCs w:val="28"/>
        </w:rPr>
        <w:t>1.4.4属于本文件规定的无效条件，但在评审过程中又未被磋商小组发现的。</w:t>
      </w:r>
    </w:p>
    <w:p w14:paraId="2E65DB39">
      <w:pPr>
        <w:spacing w:line="500" w:lineRule="exact"/>
        <w:ind w:firstLine="560"/>
        <w:rPr>
          <w:rFonts w:hint="eastAsia" w:ascii="宋体" w:hAnsi="宋体" w:cs="宋体"/>
          <w:sz w:val="28"/>
          <w:szCs w:val="28"/>
        </w:rPr>
      </w:pPr>
      <w:r>
        <w:rPr>
          <w:rFonts w:hint="eastAsia" w:ascii="宋体" w:hAnsi="宋体" w:cs="宋体"/>
          <w:sz w:val="28"/>
          <w:szCs w:val="28"/>
        </w:rPr>
        <w:t>1.4.5与采购人或者其他供应商恶意串通的。</w:t>
      </w:r>
    </w:p>
    <w:p w14:paraId="411D3301">
      <w:pPr>
        <w:spacing w:line="500" w:lineRule="exact"/>
        <w:ind w:firstLine="560"/>
        <w:rPr>
          <w:rFonts w:hint="eastAsia" w:ascii="宋体" w:hAnsi="宋体" w:cs="宋体"/>
          <w:sz w:val="28"/>
          <w:szCs w:val="28"/>
        </w:rPr>
      </w:pPr>
      <w:r>
        <w:rPr>
          <w:rFonts w:hint="eastAsia" w:ascii="宋体" w:hAnsi="宋体" w:cs="宋体"/>
          <w:sz w:val="28"/>
          <w:szCs w:val="28"/>
        </w:rPr>
        <w:t>1.4.6采取不正当手段诋毁、排挤其他供应商的。</w:t>
      </w:r>
    </w:p>
    <w:p w14:paraId="766E5996">
      <w:pPr>
        <w:spacing w:line="500" w:lineRule="exact"/>
        <w:ind w:firstLine="560"/>
        <w:rPr>
          <w:rFonts w:hint="eastAsia" w:ascii="宋体" w:hAnsi="宋体" w:cs="宋体"/>
          <w:sz w:val="28"/>
          <w:szCs w:val="28"/>
        </w:rPr>
      </w:pPr>
      <w:bookmarkStart w:id="81" w:name="_Toc200451960"/>
      <w:r>
        <w:rPr>
          <w:rFonts w:hint="eastAsia" w:ascii="宋体" w:hAnsi="宋体" w:cs="宋体"/>
          <w:sz w:val="28"/>
          <w:szCs w:val="28"/>
        </w:rPr>
        <w:t>1.5.有下列情形之一的，视为供应商串通参与磋商，响应无效：</w:t>
      </w:r>
    </w:p>
    <w:p w14:paraId="0E897B95">
      <w:pPr>
        <w:spacing w:line="500" w:lineRule="exact"/>
        <w:ind w:firstLine="560"/>
        <w:rPr>
          <w:rFonts w:hint="eastAsia" w:ascii="宋体" w:hAnsi="宋体" w:cs="宋体"/>
          <w:sz w:val="28"/>
          <w:szCs w:val="28"/>
        </w:rPr>
      </w:pPr>
      <w:r>
        <w:rPr>
          <w:rFonts w:hint="eastAsia" w:ascii="宋体" w:hAnsi="宋体" w:cs="宋体"/>
          <w:sz w:val="28"/>
          <w:szCs w:val="28"/>
        </w:rPr>
        <w:t>1.5.1不同供应商的响应文件由同一单位或者个人编制；</w:t>
      </w:r>
    </w:p>
    <w:p w14:paraId="06289118">
      <w:pPr>
        <w:spacing w:line="500" w:lineRule="exact"/>
        <w:ind w:firstLine="560"/>
        <w:rPr>
          <w:rFonts w:hint="eastAsia" w:ascii="宋体" w:hAnsi="宋体" w:cs="宋体"/>
          <w:sz w:val="28"/>
          <w:szCs w:val="28"/>
        </w:rPr>
      </w:pPr>
      <w:r>
        <w:rPr>
          <w:rFonts w:hint="eastAsia" w:ascii="宋体" w:hAnsi="宋体" w:cs="宋体"/>
          <w:sz w:val="28"/>
          <w:szCs w:val="28"/>
        </w:rPr>
        <w:t>1.5.2不同供应商委托同一单位或者个人办理磋商事宜；</w:t>
      </w:r>
    </w:p>
    <w:p w14:paraId="3E14CE84">
      <w:pPr>
        <w:spacing w:line="500" w:lineRule="exact"/>
        <w:ind w:firstLine="560"/>
        <w:rPr>
          <w:rFonts w:hint="eastAsia" w:ascii="宋体" w:hAnsi="宋体" w:cs="宋体"/>
          <w:sz w:val="28"/>
          <w:szCs w:val="28"/>
        </w:rPr>
      </w:pPr>
      <w:r>
        <w:rPr>
          <w:rFonts w:hint="eastAsia" w:ascii="宋体" w:hAnsi="宋体" w:cs="宋体"/>
          <w:sz w:val="28"/>
          <w:szCs w:val="28"/>
        </w:rPr>
        <w:t>1.5.3不同供应商的响应文件载明的项目管理成员或者联系人员为同一人；</w:t>
      </w:r>
    </w:p>
    <w:p w14:paraId="15E6CD41">
      <w:pPr>
        <w:spacing w:line="500" w:lineRule="exact"/>
        <w:ind w:firstLine="560"/>
        <w:rPr>
          <w:rFonts w:hint="eastAsia" w:ascii="宋体" w:hAnsi="宋体" w:cs="宋体"/>
          <w:sz w:val="28"/>
          <w:szCs w:val="28"/>
        </w:rPr>
      </w:pPr>
      <w:r>
        <w:rPr>
          <w:rFonts w:hint="eastAsia" w:ascii="宋体" w:hAnsi="宋体" w:cs="宋体"/>
          <w:sz w:val="28"/>
          <w:szCs w:val="28"/>
        </w:rPr>
        <w:t>1.5.4不同供应商的响应文件异常一致或者响应报价呈规律性差异。</w:t>
      </w:r>
    </w:p>
    <w:p w14:paraId="06EECF4C">
      <w:pPr>
        <w:keepNext/>
        <w:spacing w:line="500" w:lineRule="exact"/>
        <w:ind w:firstLine="420"/>
        <w:outlineLvl w:val="3"/>
        <w:rPr>
          <w:rFonts w:hint="eastAsia" w:ascii="宋体" w:hAnsi="宋体" w:cs="宋体"/>
          <w:b/>
          <w:sz w:val="28"/>
          <w:szCs w:val="28"/>
        </w:rPr>
      </w:pPr>
      <w:r>
        <w:rPr>
          <w:rFonts w:hint="eastAsia" w:ascii="宋体" w:hAnsi="宋体" w:cs="宋体"/>
          <w:sz w:val="28"/>
          <w:szCs w:val="28"/>
        </w:rPr>
        <w:t>2.质疑处理</w:t>
      </w:r>
      <w:bookmarkEnd w:id="81"/>
    </w:p>
    <w:p w14:paraId="040B8C0D">
      <w:pPr>
        <w:spacing w:line="500" w:lineRule="exact"/>
        <w:ind w:firstLine="560"/>
        <w:rPr>
          <w:rFonts w:hint="eastAsia" w:ascii="宋体" w:hAnsi="宋体" w:cs="宋体"/>
          <w:sz w:val="28"/>
          <w:szCs w:val="28"/>
        </w:rPr>
      </w:pPr>
      <w:r>
        <w:rPr>
          <w:rFonts w:hint="eastAsia" w:ascii="宋体" w:hAnsi="宋体" w:cs="宋体"/>
          <w:sz w:val="28"/>
          <w:szCs w:val="28"/>
        </w:rPr>
        <w:t>2.1 提出质疑的供应商应当是参与所质疑项目采购活动的供应商。潜在供应商依法获取其可质疑的磋商文件的，可以对磋商文件提出质疑。</w:t>
      </w:r>
    </w:p>
    <w:p w14:paraId="7A41A068">
      <w:pPr>
        <w:spacing w:line="500" w:lineRule="exact"/>
        <w:ind w:firstLine="560"/>
        <w:rPr>
          <w:rFonts w:hint="eastAsia" w:ascii="宋体" w:hAnsi="宋体" w:cs="宋体"/>
          <w:sz w:val="28"/>
          <w:szCs w:val="28"/>
        </w:rPr>
      </w:pPr>
      <w:r>
        <w:rPr>
          <w:rFonts w:hint="eastAsia" w:ascii="宋体" w:hAnsi="宋体" w:cs="宋体"/>
          <w:sz w:val="28"/>
          <w:szCs w:val="28"/>
        </w:rPr>
        <w:t>2.2供应商认为磋商文件、采购过程和采购结果使自己的权益受到损害的，可以在知道或应知其权益受到损害之日起七个工作日内，以书面形式向采购人提出质疑。上述应知其权益受到损害之日，是指：</w:t>
      </w:r>
    </w:p>
    <w:p w14:paraId="304A03C4">
      <w:pPr>
        <w:spacing w:line="500" w:lineRule="exact"/>
        <w:ind w:firstLine="560"/>
        <w:rPr>
          <w:rFonts w:hint="eastAsia" w:ascii="宋体" w:hAnsi="宋体" w:cs="宋体"/>
          <w:sz w:val="28"/>
          <w:szCs w:val="28"/>
        </w:rPr>
      </w:pPr>
      <w:r>
        <w:rPr>
          <w:rFonts w:hint="eastAsia" w:ascii="宋体" w:hAnsi="宋体" w:cs="宋体"/>
          <w:sz w:val="28"/>
          <w:szCs w:val="28"/>
        </w:rPr>
        <w:t>2.2.1对可以质疑的磋商文件提出质疑的，为收到磋商文件之日或者磋商文件公告期限届满之日；</w:t>
      </w:r>
    </w:p>
    <w:p w14:paraId="1C1A5612">
      <w:pPr>
        <w:spacing w:line="500" w:lineRule="exact"/>
        <w:ind w:firstLine="560"/>
        <w:rPr>
          <w:rFonts w:hint="eastAsia" w:ascii="宋体" w:hAnsi="宋体" w:cs="宋体"/>
          <w:sz w:val="28"/>
          <w:szCs w:val="28"/>
        </w:rPr>
      </w:pPr>
      <w:r>
        <w:rPr>
          <w:rFonts w:hint="eastAsia" w:ascii="宋体" w:hAnsi="宋体" w:cs="宋体"/>
          <w:sz w:val="28"/>
          <w:szCs w:val="28"/>
        </w:rPr>
        <w:t>2.2.2对采购过程提出质疑的，为各采购程序环节结束之日；</w:t>
      </w:r>
      <w:r>
        <w:rPr>
          <w:rFonts w:hint="eastAsia" w:ascii="宋体" w:hAnsi="宋体" w:cs="宋体"/>
          <w:sz w:val="28"/>
          <w:szCs w:val="28"/>
        </w:rPr>
        <w:br w:type="textWrapping" w:clear="all"/>
      </w:r>
      <w:r>
        <w:rPr>
          <w:rFonts w:hint="eastAsia" w:ascii="宋体" w:hAnsi="宋体" w:cs="宋体"/>
          <w:sz w:val="28"/>
          <w:szCs w:val="28"/>
        </w:rPr>
        <w:t>　　2.2.3对成交结果提出质疑的，为成交结果公告期限届满之日。</w:t>
      </w:r>
    </w:p>
    <w:p w14:paraId="0BFA343C">
      <w:pPr>
        <w:spacing w:line="500" w:lineRule="exact"/>
        <w:ind w:firstLine="560"/>
        <w:rPr>
          <w:rFonts w:hint="eastAsia" w:ascii="宋体" w:hAnsi="宋体" w:cs="宋体"/>
          <w:sz w:val="28"/>
          <w:szCs w:val="28"/>
        </w:rPr>
      </w:pPr>
      <w:r>
        <w:rPr>
          <w:rFonts w:hint="eastAsia" w:ascii="宋体" w:hAnsi="宋体" w:cs="宋体"/>
          <w:sz w:val="28"/>
          <w:szCs w:val="28"/>
        </w:rPr>
        <w:t>供应商应当在法定质疑期内一次性提出针对同一采购程序环节的质疑。</w:t>
      </w:r>
    </w:p>
    <w:p w14:paraId="2434C8D7">
      <w:pPr>
        <w:spacing w:line="500" w:lineRule="exact"/>
        <w:ind w:firstLine="560"/>
        <w:rPr>
          <w:rFonts w:hint="eastAsia" w:ascii="宋体" w:hAnsi="宋体" w:cs="宋体"/>
          <w:sz w:val="28"/>
          <w:szCs w:val="28"/>
        </w:rPr>
      </w:pPr>
      <w:r>
        <w:rPr>
          <w:rFonts w:hint="eastAsia" w:ascii="宋体" w:hAnsi="宋体" w:cs="宋体"/>
          <w:sz w:val="28"/>
          <w:szCs w:val="28"/>
        </w:rPr>
        <w:t>2.3质疑函必须按照本磋商文件中《质疑函范本》要求的格式（格式详见附件</w:t>
      </w:r>
      <w:r>
        <w:rPr>
          <w:rFonts w:hint="eastAsia" w:ascii="宋体" w:hAnsi="宋体" w:cs="宋体"/>
          <w:sz w:val="28"/>
          <w:szCs w:val="28"/>
          <w:lang w:val="en-US" w:eastAsia="zh-CN"/>
        </w:rPr>
        <w:t>10</w:t>
      </w:r>
      <w:r>
        <w:rPr>
          <w:rFonts w:hint="eastAsia" w:ascii="宋体" w:hAnsi="宋体" w:cs="宋体"/>
          <w:sz w:val="28"/>
          <w:szCs w:val="28"/>
        </w:rPr>
        <w:t>）和内容进行填写。供应商如组成联合体参加磋商，则《质疑函范本》中要求签字、盖章、加盖公章之处，联合体各方均须按要求签字、盖章、加盖公章。</w:t>
      </w:r>
    </w:p>
    <w:p w14:paraId="4CCAF537">
      <w:pPr>
        <w:spacing w:line="500" w:lineRule="exact"/>
        <w:ind w:firstLine="560"/>
        <w:rPr>
          <w:rFonts w:hint="eastAsia" w:ascii="宋体" w:hAnsi="宋体" w:cs="宋体"/>
          <w:b/>
          <w:sz w:val="28"/>
          <w:szCs w:val="28"/>
        </w:rPr>
      </w:pPr>
      <w:r>
        <w:rPr>
          <w:rFonts w:hint="eastAsia" w:ascii="宋体" w:hAnsi="宋体" w:cs="宋体"/>
          <w:sz w:val="28"/>
          <w:szCs w:val="28"/>
        </w:rPr>
        <w:t>2.4对采购方式、磋商文件中项目需求、供应商资格条件、评审方法和评审标准、资格审查结果等应当由采购人答复的质疑，请向采购人提出，由采购人负责答复。</w:t>
      </w:r>
    </w:p>
    <w:p w14:paraId="44F8651C">
      <w:pPr>
        <w:spacing w:line="500" w:lineRule="exact"/>
        <w:ind w:firstLine="560"/>
        <w:rPr>
          <w:rFonts w:hint="eastAsia" w:ascii="宋体" w:hAnsi="宋体" w:cs="宋体"/>
          <w:sz w:val="28"/>
          <w:szCs w:val="28"/>
        </w:rPr>
      </w:pPr>
      <w:r>
        <w:rPr>
          <w:rFonts w:hint="eastAsia" w:ascii="宋体" w:hAnsi="宋体" w:cs="宋体"/>
          <w:sz w:val="28"/>
          <w:szCs w:val="28"/>
        </w:rPr>
        <w:t>为方便供应商提起质疑，供应商可通过邮寄方式向采购人提交以书面形式的质疑。</w:t>
      </w:r>
    </w:p>
    <w:p w14:paraId="7EBFF5A2">
      <w:pPr>
        <w:spacing w:line="500" w:lineRule="exact"/>
        <w:ind w:firstLine="560"/>
        <w:rPr>
          <w:rFonts w:hint="eastAsia" w:ascii="宋体" w:hAnsi="宋体" w:cs="宋体"/>
          <w:sz w:val="28"/>
          <w:szCs w:val="28"/>
        </w:rPr>
      </w:pPr>
      <w:r>
        <w:rPr>
          <w:rFonts w:hint="eastAsia" w:ascii="宋体" w:hAnsi="宋体" w:cs="宋体"/>
          <w:sz w:val="28"/>
          <w:szCs w:val="28"/>
        </w:rPr>
        <w:t>采购人质疑接收人及联系方式，见磋商文件第一部分。</w:t>
      </w:r>
    </w:p>
    <w:p w14:paraId="1B98F942">
      <w:pPr>
        <w:spacing w:line="500" w:lineRule="exact"/>
        <w:ind w:firstLine="560"/>
        <w:rPr>
          <w:rFonts w:hint="eastAsia" w:ascii="宋体" w:hAnsi="宋体" w:cs="宋体"/>
          <w:sz w:val="28"/>
          <w:szCs w:val="28"/>
        </w:rPr>
      </w:pPr>
      <w:r>
        <w:rPr>
          <w:rFonts w:hint="eastAsia" w:ascii="宋体" w:hAnsi="宋体" w:cs="宋体"/>
          <w:sz w:val="28"/>
          <w:szCs w:val="28"/>
        </w:rPr>
        <w:t>2.5以下情形的质疑不予受理</w:t>
      </w:r>
    </w:p>
    <w:p w14:paraId="17FA7327">
      <w:pPr>
        <w:spacing w:line="500" w:lineRule="exact"/>
        <w:ind w:firstLine="560"/>
        <w:rPr>
          <w:rFonts w:hint="eastAsia" w:ascii="宋体" w:hAnsi="宋体" w:cs="宋体"/>
          <w:sz w:val="28"/>
          <w:szCs w:val="28"/>
        </w:rPr>
      </w:pPr>
      <w:r>
        <w:rPr>
          <w:rFonts w:hint="eastAsia" w:ascii="宋体" w:hAnsi="宋体" w:cs="宋体"/>
          <w:sz w:val="28"/>
          <w:szCs w:val="28"/>
        </w:rPr>
        <w:t>2.5.1内容不符合《政府采购质疑和投诉办法》第十二条规定的质疑。</w:t>
      </w:r>
    </w:p>
    <w:p w14:paraId="7148C01D">
      <w:pPr>
        <w:spacing w:line="500" w:lineRule="exact"/>
        <w:ind w:firstLine="560"/>
        <w:rPr>
          <w:rFonts w:hint="eastAsia" w:ascii="宋体" w:hAnsi="宋体" w:cs="宋体"/>
          <w:sz w:val="28"/>
          <w:szCs w:val="28"/>
        </w:rPr>
      </w:pPr>
      <w:r>
        <w:rPr>
          <w:rFonts w:hint="eastAsia" w:ascii="宋体" w:hAnsi="宋体" w:cs="宋体"/>
          <w:sz w:val="28"/>
          <w:szCs w:val="28"/>
        </w:rPr>
        <w:t>2.5.2超出政府采购法定期限的质疑。</w:t>
      </w:r>
    </w:p>
    <w:p w14:paraId="7F27066B">
      <w:pPr>
        <w:spacing w:line="500" w:lineRule="exact"/>
        <w:ind w:firstLine="560"/>
        <w:rPr>
          <w:rFonts w:hint="eastAsia" w:ascii="宋体" w:hAnsi="宋体" w:cs="宋体"/>
          <w:sz w:val="28"/>
          <w:szCs w:val="28"/>
        </w:rPr>
      </w:pPr>
      <w:r>
        <w:rPr>
          <w:rFonts w:hint="eastAsia" w:ascii="宋体" w:hAnsi="宋体" w:cs="宋体"/>
          <w:sz w:val="28"/>
          <w:szCs w:val="28"/>
        </w:rPr>
        <w:t>2.5.3未参加磋商活动的供应商或在磋商活动中自身权益未受到损害的供应商所提出的质疑。</w:t>
      </w:r>
    </w:p>
    <w:p w14:paraId="605660AF">
      <w:pPr>
        <w:spacing w:line="500" w:lineRule="exact"/>
        <w:ind w:firstLine="560"/>
        <w:rPr>
          <w:rFonts w:hint="eastAsia" w:ascii="宋体" w:hAnsi="宋体" w:cs="宋体"/>
          <w:sz w:val="28"/>
          <w:szCs w:val="28"/>
        </w:rPr>
      </w:pPr>
      <w:r>
        <w:rPr>
          <w:rFonts w:hint="eastAsia" w:ascii="宋体" w:hAnsi="宋体" w:cs="宋体"/>
          <w:sz w:val="28"/>
          <w:szCs w:val="28"/>
        </w:rPr>
        <w:t>2.5.4供应商组成联合体参加磋商，联合体中任何一方或多方未按要求签字、盖章、加盖公章的质疑。</w:t>
      </w:r>
    </w:p>
    <w:p w14:paraId="1B462D22">
      <w:pPr>
        <w:spacing w:line="500" w:lineRule="exact"/>
        <w:ind w:firstLine="546"/>
        <w:rPr>
          <w:rFonts w:hint="eastAsia" w:ascii="宋体" w:hAnsi="宋体" w:cs="宋体"/>
          <w:sz w:val="28"/>
          <w:szCs w:val="28"/>
        </w:rPr>
      </w:pPr>
      <w:r>
        <w:rPr>
          <w:rFonts w:hint="eastAsia" w:ascii="宋体" w:hAnsi="宋体" w:cs="宋体"/>
          <w:sz w:val="28"/>
          <w:szCs w:val="28"/>
        </w:rPr>
        <w:t>2.6供应商提出书面质疑必须有理、有据，不得捏造事实、提供虚假材料进行恶意质疑。否则，一经查实，采购人有权依据政府采购的有关规定，报请政府采购监管部门对该供应商进行相应的行政处罚和记录该供应商的失信信息。</w:t>
      </w:r>
    </w:p>
    <w:p w14:paraId="10D25585">
      <w:pPr>
        <w:keepNext/>
        <w:spacing w:line="500" w:lineRule="exact"/>
        <w:ind w:firstLine="420"/>
        <w:outlineLvl w:val="3"/>
        <w:rPr>
          <w:rFonts w:hint="eastAsia" w:ascii="宋体" w:hAnsi="宋体" w:cs="宋体"/>
          <w:b/>
          <w:sz w:val="28"/>
          <w:szCs w:val="28"/>
        </w:rPr>
      </w:pPr>
      <w:r>
        <w:rPr>
          <w:rFonts w:hint="eastAsia" w:ascii="宋体" w:hAnsi="宋体" w:cs="宋体"/>
          <w:sz w:val="28"/>
          <w:szCs w:val="28"/>
        </w:rPr>
        <w:t>3．成交通知书</w:t>
      </w:r>
    </w:p>
    <w:p w14:paraId="124ED446">
      <w:pPr>
        <w:spacing w:line="500" w:lineRule="exact"/>
        <w:ind w:firstLine="420"/>
        <w:rPr>
          <w:rFonts w:hint="eastAsia" w:ascii="宋体" w:hAnsi="宋体" w:cs="宋体"/>
          <w:sz w:val="28"/>
          <w:szCs w:val="28"/>
        </w:rPr>
      </w:pPr>
      <w:r>
        <w:rPr>
          <w:rFonts w:hint="eastAsia" w:ascii="宋体" w:hAnsi="宋体" w:cs="宋体"/>
          <w:sz w:val="28"/>
          <w:szCs w:val="28"/>
        </w:rPr>
        <w:t>3.l成交结果确定后，</w:t>
      </w:r>
      <w:r>
        <w:rPr>
          <w:rFonts w:hint="eastAsia" w:ascii="宋体" w:hAnsi="宋体" w:cs="宋体"/>
          <w:bCs/>
          <w:sz w:val="28"/>
          <w:szCs w:val="28"/>
        </w:rPr>
        <w:t>采购人</w:t>
      </w:r>
      <w:r>
        <w:rPr>
          <w:rFonts w:hint="eastAsia" w:ascii="宋体" w:hAnsi="宋体" w:cs="宋体"/>
          <w:sz w:val="28"/>
          <w:szCs w:val="28"/>
        </w:rPr>
        <w:t>将向成交供应商发出成交通知书</w:t>
      </w:r>
      <w:r>
        <w:rPr>
          <w:rFonts w:hint="eastAsia" w:ascii="宋体" w:hAnsi="宋体" w:cs="宋体"/>
          <w:bCs/>
          <w:sz w:val="28"/>
          <w:szCs w:val="28"/>
        </w:rPr>
        <w:t>（详见磋商文件第四部分）</w:t>
      </w:r>
      <w:r>
        <w:rPr>
          <w:rFonts w:hint="eastAsia" w:ascii="宋体" w:hAnsi="宋体" w:cs="宋体"/>
          <w:sz w:val="28"/>
          <w:szCs w:val="28"/>
        </w:rPr>
        <w:t>。</w:t>
      </w:r>
    </w:p>
    <w:p w14:paraId="349A4F1B">
      <w:pPr>
        <w:spacing w:line="500" w:lineRule="exact"/>
        <w:ind w:firstLine="420"/>
        <w:rPr>
          <w:rFonts w:hint="eastAsia" w:ascii="宋体" w:hAnsi="宋体" w:cs="宋体"/>
          <w:sz w:val="28"/>
          <w:szCs w:val="28"/>
        </w:rPr>
      </w:pPr>
      <w:r>
        <w:rPr>
          <w:rFonts w:hint="eastAsia" w:ascii="宋体" w:hAnsi="宋体" w:cs="宋体"/>
          <w:sz w:val="28"/>
          <w:szCs w:val="28"/>
        </w:rPr>
        <w:t>3.2成交通知书将是合同的一个组成部分。对采购人和成交供应商均具有法律效力。成交通知书发出后，采购人改变成交结果的，或者成交供应商放弃磋商项目的，应当依法承担法律责任。</w:t>
      </w:r>
    </w:p>
    <w:p w14:paraId="4933977E">
      <w:pPr>
        <w:keepNext/>
        <w:keepLines/>
        <w:spacing w:line="500" w:lineRule="exact"/>
        <w:outlineLvl w:val="2"/>
        <w:rPr>
          <w:rFonts w:hint="eastAsia" w:ascii="宋体" w:hAnsi="宋体" w:cs="宋体"/>
          <w:b/>
          <w:bCs/>
          <w:sz w:val="28"/>
          <w:szCs w:val="28"/>
        </w:rPr>
      </w:pPr>
      <w:bookmarkStart w:id="82" w:name="_Toc120614220"/>
      <w:bookmarkStart w:id="83" w:name="_Toc513029236"/>
      <w:bookmarkStart w:id="84" w:name="_Toc16938552"/>
      <w:bookmarkStart w:id="85" w:name="_Toc20823308"/>
      <w:r>
        <w:rPr>
          <w:rFonts w:hint="eastAsia" w:ascii="宋体" w:hAnsi="宋体" w:cs="宋体"/>
          <w:b/>
          <w:bCs/>
          <w:sz w:val="28"/>
          <w:szCs w:val="28"/>
        </w:rPr>
        <w:t>（七）授予合同</w:t>
      </w:r>
      <w:bookmarkEnd w:id="82"/>
    </w:p>
    <w:bookmarkEnd w:id="83"/>
    <w:bookmarkEnd w:id="84"/>
    <w:bookmarkEnd w:id="85"/>
    <w:p w14:paraId="1F62D330">
      <w:pPr>
        <w:keepNext/>
        <w:spacing w:line="500" w:lineRule="exact"/>
        <w:outlineLvl w:val="3"/>
        <w:rPr>
          <w:rFonts w:hint="eastAsia" w:ascii="宋体" w:hAnsi="宋体" w:cs="宋体"/>
          <w:b/>
          <w:sz w:val="28"/>
          <w:szCs w:val="28"/>
        </w:rPr>
      </w:pPr>
      <w:bookmarkStart w:id="86" w:name="_Toc16938553"/>
      <w:bookmarkStart w:id="87" w:name="_Toc513029237"/>
      <w:bookmarkStart w:id="88" w:name="_Toc20823309"/>
      <w:r>
        <w:rPr>
          <w:rFonts w:hint="eastAsia" w:ascii="宋体" w:hAnsi="宋体" w:cs="宋体"/>
          <w:sz w:val="28"/>
          <w:szCs w:val="28"/>
        </w:rPr>
        <w:t>1.签订合同</w:t>
      </w:r>
    </w:p>
    <w:p w14:paraId="610AC540">
      <w:pPr>
        <w:spacing w:line="500" w:lineRule="exact"/>
        <w:ind w:firstLine="560"/>
        <w:jc w:val="left"/>
        <w:rPr>
          <w:rFonts w:hint="eastAsia" w:ascii="宋体" w:hAnsi="宋体" w:cs="宋体"/>
          <w:sz w:val="28"/>
          <w:szCs w:val="28"/>
        </w:rPr>
      </w:pPr>
      <w:r>
        <w:rPr>
          <w:rFonts w:hint="eastAsia" w:ascii="宋体" w:hAnsi="宋体" w:cs="宋体"/>
          <w:bCs/>
          <w:sz w:val="28"/>
          <w:szCs w:val="28"/>
        </w:rPr>
        <w:t>1</w:t>
      </w:r>
      <w:r>
        <w:rPr>
          <w:rFonts w:hint="eastAsia" w:ascii="宋体" w:hAnsi="宋体" w:cs="宋体"/>
          <w:sz w:val="28"/>
          <w:szCs w:val="28"/>
        </w:rPr>
        <w:t>.l成交供应商应当在成交通知书发出之日起三十日内，按照磋商文件确定的事项与采购人签订政府采购合同。</w:t>
      </w:r>
    </w:p>
    <w:p w14:paraId="5E73C8F0">
      <w:pPr>
        <w:spacing w:line="500" w:lineRule="exact"/>
        <w:ind w:firstLine="560"/>
        <w:jc w:val="left"/>
        <w:rPr>
          <w:rFonts w:hint="eastAsia" w:ascii="宋体" w:hAnsi="宋体" w:cs="宋体"/>
          <w:sz w:val="28"/>
          <w:szCs w:val="28"/>
        </w:rPr>
      </w:pPr>
      <w:r>
        <w:rPr>
          <w:rFonts w:hint="eastAsia" w:ascii="宋体" w:hAnsi="宋体" w:cs="宋体"/>
          <w:sz w:val="28"/>
          <w:szCs w:val="28"/>
        </w:rPr>
        <w:t>1.2磋商文件、成交供应商的响应文件及磋商过程中有关澄清、承诺文件均应作为合同附件。</w:t>
      </w:r>
    </w:p>
    <w:p w14:paraId="5A43DC7C">
      <w:pPr>
        <w:spacing w:line="500" w:lineRule="exact"/>
        <w:ind w:firstLine="560"/>
        <w:jc w:val="left"/>
        <w:rPr>
          <w:rFonts w:hint="eastAsia" w:ascii="宋体" w:hAnsi="宋体" w:cs="宋体"/>
          <w:sz w:val="28"/>
          <w:szCs w:val="28"/>
        </w:rPr>
      </w:pPr>
      <w:r>
        <w:rPr>
          <w:rFonts w:hint="eastAsia" w:ascii="宋体" w:hAnsi="宋体" w:cs="宋体"/>
          <w:sz w:val="28"/>
          <w:szCs w:val="28"/>
        </w:rPr>
        <w:t>1.3签订合同后，成交供应商不得将货物及其他相关服务进行转包。未经采购人同意，成交供应商也不得采用分包的形式履行合同，否则采购人有权终止合同，成交供应商的履约保证金将不予退还。政府采购合同分包履行的，成交供应商就采购项目和分包项目向采购人负责，分包供应商就分包项目承担责任。转包或分包造成采购人损失的，成交供应商应承担相应赔偿责任。</w:t>
      </w:r>
    </w:p>
    <w:p w14:paraId="4DD9D5F2">
      <w:pPr>
        <w:keepNext/>
        <w:spacing w:line="500" w:lineRule="exact"/>
        <w:outlineLvl w:val="3"/>
        <w:rPr>
          <w:rFonts w:hint="eastAsia" w:ascii="宋体" w:hAnsi="宋体" w:cs="宋体"/>
          <w:b/>
          <w:sz w:val="28"/>
          <w:szCs w:val="28"/>
        </w:rPr>
      </w:pPr>
      <w:r>
        <w:rPr>
          <w:rFonts w:hint="eastAsia" w:ascii="宋体" w:hAnsi="宋体" w:cs="宋体"/>
          <w:sz w:val="28"/>
          <w:szCs w:val="28"/>
        </w:rPr>
        <w:t>2.货物和服务的追加、减少和添购。</w:t>
      </w:r>
    </w:p>
    <w:p w14:paraId="08B19683">
      <w:pPr>
        <w:spacing w:line="500" w:lineRule="exact"/>
        <w:ind w:firstLine="560"/>
        <w:rPr>
          <w:rFonts w:hint="eastAsia" w:ascii="宋体" w:hAnsi="宋体" w:cs="宋体"/>
          <w:sz w:val="28"/>
          <w:szCs w:val="28"/>
        </w:rPr>
      </w:pPr>
      <w:r>
        <w:rPr>
          <w:rFonts w:hint="eastAsia" w:ascii="宋体" w:hAnsi="宋体" w:cs="宋体"/>
          <w:sz w:val="28"/>
          <w:szCs w:val="28"/>
        </w:rPr>
        <w:t>2.1政府采购合同履行中，采购人需追加与合同标的相同的货物和服务的，在不改变合同其他条款的前提下，可以与成交供应商协商签订补充合同，但所有补充合同的采购金额不超过原合同金额10%。</w:t>
      </w:r>
    </w:p>
    <w:p w14:paraId="113FF9A9">
      <w:pPr>
        <w:spacing w:line="500" w:lineRule="exact"/>
        <w:ind w:firstLine="560"/>
        <w:rPr>
          <w:rFonts w:hint="eastAsia" w:ascii="宋体" w:hAnsi="宋体" w:cs="宋体"/>
          <w:sz w:val="28"/>
          <w:szCs w:val="28"/>
        </w:rPr>
      </w:pPr>
      <w:r>
        <w:rPr>
          <w:rFonts w:hint="eastAsia" w:ascii="宋体" w:hAnsi="宋体" w:cs="宋体"/>
          <w:sz w:val="28"/>
          <w:szCs w:val="28"/>
        </w:rPr>
        <w:t>2.2采购结束后，采购人若由于各种客观原因，必须对采购项目所牵涉的货物和服务进行适当的减少时，在双方协商一致的前提下，可以按照采购时的价格水平做相应的调减，并据此签订补充合同。</w:t>
      </w:r>
    </w:p>
    <w:p w14:paraId="301C356E">
      <w:pPr>
        <w:spacing w:line="500" w:lineRule="exact"/>
        <w:ind w:firstLine="562"/>
        <w:rPr>
          <w:rFonts w:hint="eastAsia" w:ascii="宋体" w:hAnsi="宋体" w:cs="宋体"/>
          <w:b/>
          <w:sz w:val="28"/>
          <w:szCs w:val="28"/>
        </w:rPr>
      </w:pPr>
    </w:p>
    <w:bookmarkEnd w:id="86"/>
    <w:bookmarkEnd w:id="87"/>
    <w:bookmarkEnd w:id="88"/>
    <w:p w14:paraId="42C57E4C">
      <w:pPr>
        <w:spacing w:line="500" w:lineRule="exact"/>
        <w:jc w:val="center"/>
        <w:rPr>
          <w:rFonts w:hint="eastAsia" w:ascii="宋体" w:hAnsi="宋体" w:cs="宋体"/>
          <w:bCs/>
          <w:sz w:val="36"/>
          <w:szCs w:val="36"/>
        </w:rPr>
      </w:pPr>
      <w:r>
        <w:rPr>
          <w:rFonts w:hint="eastAsia" w:ascii="宋体" w:hAnsi="宋体" w:cs="宋体"/>
          <w:bCs/>
          <w:sz w:val="36"/>
          <w:szCs w:val="36"/>
        </w:rPr>
        <w:br w:type="page" w:clear="all"/>
      </w:r>
      <w:r>
        <w:rPr>
          <w:rFonts w:hint="eastAsia" w:ascii="宋体" w:hAnsi="宋体" w:cs="宋体"/>
          <w:bCs/>
          <w:sz w:val="36"/>
          <w:szCs w:val="36"/>
        </w:rPr>
        <w:t>第三部分  项目需求</w:t>
      </w:r>
    </w:p>
    <w:p w14:paraId="5D258D42">
      <w:pPr>
        <w:spacing w:line="500" w:lineRule="exact"/>
        <w:ind w:firstLine="560"/>
        <w:rPr>
          <w:rFonts w:hint="eastAsia" w:ascii="宋体" w:hAnsi="宋体" w:cs="宋体"/>
          <w:sz w:val="28"/>
          <w:szCs w:val="28"/>
        </w:rPr>
      </w:pPr>
      <w:r>
        <w:rPr>
          <w:rFonts w:hint="eastAsia" w:ascii="宋体" w:hAnsi="宋体" w:cs="宋体"/>
          <w:sz w:val="28"/>
          <w:szCs w:val="28"/>
        </w:rPr>
        <w:t>供应商在制作响应文件时仔细研究项目需求说明。项目需求包括技术要求和商务要求:技术要求是指对采购标的功能和质量要求，包括性能、材料、结构、外观、安全，或者服务内容和标准等;商务要求是指取得采购标的的时间、地点、财务和服务要求，包括交付（实施）的时间（期限）和地点（范围），付款条件（进度和方法），包装和运输，售后服务，保险等。</w:t>
      </w:r>
    </w:p>
    <w:p w14:paraId="67091E79">
      <w:pPr>
        <w:spacing w:line="500" w:lineRule="exact"/>
        <w:ind w:firstLine="560" w:firstLineChars="200"/>
        <w:rPr>
          <w:rFonts w:hint="eastAsia" w:ascii="宋体" w:hAnsi="宋体" w:cs="宋体"/>
          <w:sz w:val="28"/>
          <w:szCs w:val="28"/>
        </w:rPr>
      </w:pPr>
      <w:r>
        <w:rPr>
          <w:rFonts w:hint="eastAsia" w:ascii="宋体" w:hAnsi="宋体" w:cs="宋体"/>
          <w:sz w:val="28"/>
          <w:szCs w:val="28"/>
        </w:rPr>
        <w:t>供应商不能简单照搬照抄磋商文件项目需求说明中的技术、商务要求，必须作实事求是的响应。如供应商提供的服务同采购人提出的项目需求说明中的技术、商务要求不同的，必须在响应文件中《商务技术文件》上明示。</w:t>
      </w:r>
    </w:p>
    <w:p w14:paraId="1324965D">
      <w:pPr>
        <w:spacing w:line="500" w:lineRule="exact"/>
        <w:ind w:firstLine="562" w:firstLineChars="200"/>
        <w:rPr>
          <w:rFonts w:hint="eastAsia" w:ascii="宋体" w:hAnsi="宋体" w:eastAsia="宋体"/>
          <w:b/>
          <w:sz w:val="28"/>
          <w:szCs w:val="28"/>
          <w:lang w:eastAsia="zh-CN"/>
        </w:rPr>
      </w:pPr>
      <w:r>
        <w:rPr>
          <w:rFonts w:hint="eastAsia" w:ascii="宋体" w:hAnsi="宋体"/>
          <w:b/>
          <w:sz w:val="28"/>
          <w:szCs w:val="28"/>
          <w:lang w:val="en-US" w:eastAsia="zh-CN"/>
        </w:rPr>
        <w:t>一</w:t>
      </w:r>
      <w:r>
        <w:rPr>
          <w:rFonts w:hint="eastAsia" w:ascii="宋体" w:hAnsi="宋体"/>
          <w:b/>
          <w:sz w:val="28"/>
          <w:szCs w:val="28"/>
        </w:rPr>
        <w:t>、项目服务</w:t>
      </w:r>
      <w:r>
        <w:rPr>
          <w:rFonts w:hint="eastAsia" w:ascii="宋体" w:hAnsi="宋体"/>
          <w:b/>
          <w:sz w:val="28"/>
          <w:szCs w:val="28"/>
          <w:lang w:val="en-US" w:eastAsia="zh-CN"/>
        </w:rPr>
        <w:t>要求</w:t>
      </w:r>
    </w:p>
    <w:p w14:paraId="778DB6AB">
      <w:pPr>
        <w:spacing w:line="560" w:lineRule="exact"/>
        <w:ind w:firstLine="560" w:firstLineChars="200"/>
        <w:rPr>
          <w:rFonts w:hint="eastAsia" w:ascii="宋体" w:hAnsi="宋体" w:cs="宋体"/>
          <w:sz w:val="28"/>
          <w:szCs w:val="28"/>
        </w:rPr>
      </w:pPr>
      <w:r>
        <w:rPr>
          <w:rFonts w:hint="eastAsia" w:ascii="宋体" w:hAnsi="宋体" w:cs="宋体"/>
          <w:sz w:val="28"/>
          <w:szCs w:val="28"/>
          <w:lang w:val="en-US" w:eastAsia="zh-CN"/>
        </w:rPr>
        <w:t>（一）</w:t>
      </w:r>
      <w:r>
        <w:rPr>
          <w:rFonts w:hint="eastAsia" w:ascii="宋体" w:hAnsi="宋体" w:cs="宋体"/>
          <w:sz w:val="28"/>
          <w:szCs w:val="28"/>
        </w:rPr>
        <w:t>服务范围：长江汇龙段新大堤内外，西起三星河（北新交界），东至庙港河闸（惠萍交界），共计7.6公里（包含头兴港港支堤）。</w:t>
      </w:r>
    </w:p>
    <w:p w14:paraId="50BA68AC">
      <w:pPr>
        <w:spacing w:line="560" w:lineRule="exact"/>
        <w:ind w:firstLine="560" w:firstLineChars="200"/>
        <w:rPr>
          <w:rFonts w:hint="eastAsia" w:ascii="宋体" w:hAnsi="宋体" w:cs="宋体"/>
          <w:sz w:val="28"/>
          <w:szCs w:val="28"/>
          <w:lang w:eastAsia="zh-CN"/>
        </w:rPr>
      </w:pPr>
      <w:r>
        <w:rPr>
          <w:rFonts w:hint="eastAsia" w:ascii="宋体" w:hAnsi="宋体" w:cs="宋体"/>
          <w:sz w:val="28"/>
          <w:szCs w:val="28"/>
          <w:lang w:eastAsia="zh-CN"/>
        </w:rPr>
        <w:t>（二）服务内容</w:t>
      </w:r>
    </w:p>
    <w:p w14:paraId="3484A8C0">
      <w:pPr>
        <w:spacing w:line="560" w:lineRule="exact"/>
        <w:ind w:firstLine="560" w:firstLineChars="200"/>
        <w:rPr>
          <w:rFonts w:hint="eastAsia" w:ascii="宋体" w:hAnsi="宋体" w:cs="宋体"/>
          <w:sz w:val="28"/>
          <w:szCs w:val="28"/>
          <w:lang w:eastAsia="zh-CN"/>
        </w:rPr>
      </w:pPr>
      <w:r>
        <w:rPr>
          <w:rFonts w:hint="eastAsia" w:ascii="宋体" w:hAnsi="宋体" w:cs="宋体"/>
          <w:sz w:val="28"/>
          <w:szCs w:val="28"/>
          <w:lang w:eastAsia="zh-CN"/>
        </w:rPr>
        <w:t>1、巡查是否存在非法捕捞、非法垂钓人员和移动浮筏、快艇等“三无船只”停靠；</w:t>
      </w:r>
    </w:p>
    <w:p w14:paraId="089222B9">
      <w:pPr>
        <w:spacing w:line="560" w:lineRule="exact"/>
        <w:ind w:firstLine="560" w:firstLineChars="200"/>
        <w:rPr>
          <w:rFonts w:hint="eastAsia" w:ascii="宋体" w:hAnsi="宋体" w:cs="宋体"/>
          <w:sz w:val="28"/>
          <w:szCs w:val="28"/>
          <w:lang w:eastAsia="zh-CN"/>
        </w:rPr>
      </w:pPr>
      <w:r>
        <w:rPr>
          <w:rFonts w:hint="eastAsia" w:ascii="宋体" w:hAnsi="宋体" w:cs="宋体"/>
          <w:sz w:val="28"/>
          <w:szCs w:val="28"/>
          <w:lang w:eastAsia="zh-CN"/>
        </w:rPr>
        <w:t>2、巡查是否存在涉嫌走私、非法移动浮筏、快艇等水上非法船舶以及从事各类非法网具电捕等违反国家相关法律法规的行为；</w:t>
      </w:r>
    </w:p>
    <w:p w14:paraId="51F9C10F">
      <w:pPr>
        <w:spacing w:line="560" w:lineRule="exact"/>
        <w:ind w:firstLine="560" w:firstLineChars="200"/>
        <w:rPr>
          <w:rFonts w:hint="eastAsia" w:ascii="宋体" w:hAnsi="宋体" w:cs="宋体"/>
          <w:sz w:val="28"/>
          <w:szCs w:val="28"/>
          <w:lang w:eastAsia="zh-CN"/>
        </w:rPr>
      </w:pPr>
      <w:r>
        <w:rPr>
          <w:rFonts w:hint="eastAsia" w:ascii="宋体" w:hAnsi="宋体" w:cs="宋体"/>
          <w:sz w:val="28"/>
          <w:szCs w:val="28"/>
          <w:lang w:eastAsia="zh-CN"/>
        </w:rPr>
        <w:t>3、巡查是否存在向长江大堤内外非法倾倒垃圾，破坏自然环境和水自然污染的各类违法犯罪行为；</w:t>
      </w:r>
    </w:p>
    <w:p w14:paraId="2218C2B2">
      <w:pPr>
        <w:spacing w:line="560" w:lineRule="exact"/>
        <w:ind w:firstLine="560" w:firstLineChars="200"/>
        <w:rPr>
          <w:rFonts w:hint="eastAsia" w:ascii="宋体" w:hAnsi="宋体" w:cs="宋体"/>
          <w:sz w:val="28"/>
          <w:szCs w:val="28"/>
          <w:lang w:eastAsia="zh-CN"/>
        </w:rPr>
      </w:pPr>
      <w:r>
        <w:rPr>
          <w:rFonts w:hint="eastAsia" w:ascii="宋体" w:hAnsi="宋体" w:cs="宋体"/>
          <w:sz w:val="28"/>
          <w:szCs w:val="28"/>
          <w:lang w:eastAsia="zh-CN"/>
        </w:rPr>
        <w:t>4、巡查是否存在破坏长江大堤安防、技防设施设备等各类违法犯罪行为；</w:t>
      </w:r>
    </w:p>
    <w:p w14:paraId="5DFBDAC6">
      <w:pPr>
        <w:spacing w:line="560" w:lineRule="exact"/>
        <w:ind w:firstLine="560" w:firstLineChars="200"/>
        <w:rPr>
          <w:rFonts w:hint="eastAsia" w:ascii="宋体" w:hAnsi="宋体" w:cs="宋体"/>
          <w:sz w:val="28"/>
          <w:szCs w:val="28"/>
          <w:lang w:eastAsia="zh-CN"/>
        </w:rPr>
      </w:pPr>
      <w:r>
        <w:rPr>
          <w:rFonts w:hint="eastAsia" w:ascii="宋体" w:hAnsi="宋体" w:cs="宋体"/>
          <w:sz w:val="28"/>
          <w:szCs w:val="28"/>
          <w:lang w:eastAsia="zh-CN"/>
        </w:rPr>
        <w:t>5、及时发现和制止在长江滩涂游玩、戏水等存在各类安全隐患的行为；</w:t>
      </w:r>
    </w:p>
    <w:p w14:paraId="4A009206">
      <w:pPr>
        <w:spacing w:line="560" w:lineRule="exact"/>
        <w:ind w:firstLine="560" w:firstLineChars="200"/>
        <w:rPr>
          <w:rFonts w:hint="eastAsia" w:ascii="宋体" w:hAnsi="宋体" w:cs="宋体"/>
          <w:sz w:val="28"/>
          <w:szCs w:val="28"/>
          <w:lang w:eastAsia="zh-CN"/>
        </w:rPr>
      </w:pPr>
      <w:r>
        <w:rPr>
          <w:rFonts w:hint="eastAsia" w:ascii="宋体" w:hAnsi="宋体" w:cs="宋体"/>
          <w:sz w:val="28"/>
          <w:szCs w:val="28"/>
          <w:lang w:eastAsia="zh-CN"/>
        </w:rPr>
        <w:t>6、如遇有重大活动、突发治安事件、突发应急抢救治疗事件，需要临时增派保安人员或增加巡逻频次等，无条件服从。</w:t>
      </w:r>
    </w:p>
    <w:p w14:paraId="6C46AE94">
      <w:pPr>
        <w:spacing w:line="560" w:lineRule="exact"/>
        <w:ind w:firstLine="560" w:firstLineChars="200"/>
        <w:rPr>
          <w:rFonts w:hint="eastAsia" w:ascii="宋体" w:hAnsi="宋体" w:cs="宋体"/>
          <w:sz w:val="28"/>
          <w:szCs w:val="28"/>
          <w:lang w:eastAsia="zh-CN"/>
        </w:rPr>
      </w:pPr>
      <w:r>
        <w:rPr>
          <w:rFonts w:hint="eastAsia" w:ascii="宋体" w:hAnsi="宋体" w:cs="宋体"/>
          <w:sz w:val="28"/>
          <w:szCs w:val="28"/>
          <w:lang w:eastAsia="zh-CN"/>
        </w:rPr>
        <w:t>（三）岗位配置要求</w:t>
      </w:r>
    </w:p>
    <w:p w14:paraId="06263B7E">
      <w:pPr>
        <w:spacing w:line="560" w:lineRule="exact"/>
        <w:ind w:firstLine="560" w:firstLineChars="200"/>
        <w:rPr>
          <w:rFonts w:hint="eastAsia" w:ascii="宋体" w:hAnsi="宋体" w:cs="宋体"/>
          <w:sz w:val="28"/>
          <w:szCs w:val="28"/>
          <w:lang w:eastAsia="zh-CN"/>
        </w:rPr>
      </w:pPr>
      <w:r>
        <w:rPr>
          <w:rFonts w:hint="eastAsia" w:ascii="宋体" w:hAnsi="宋体" w:cs="宋体"/>
          <w:sz w:val="28"/>
          <w:szCs w:val="28"/>
          <w:lang w:eastAsia="zh-CN"/>
        </w:rPr>
        <w:t>1、2个工作站全天24小时均有人在岗，每6小时巡堤打卡4次（每次打卡14个点位），低于标准为不达标，如有频次调整，需无条件服从；</w:t>
      </w:r>
    </w:p>
    <w:p w14:paraId="18E931A7">
      <w:pPr>
        <w:spacing w:line="560" w:lineRule="exact"/>
        <w:ind w:firstLine="560" w:firstLineChars="200"/>
        <w:rPr>
          <w:rFonts w:hint="eastAsia" w:ascii="宋体" w:hAnsi="宋体" w:cs="宋体"/>
          <w:sz w:val="28"/>
          <w:szCs w:val="28"/>
          <w:lang w:eastAsia="zh-CN"/>
        </w:rPr>
      </w:pPr>
      <w:r>
        <w:rPr>
          <w:rFonts w:hint="eastAsia" w:ascii="宋体" w:hAnsi="宋体" w:cs="宋体"/>
          <w:sz w:val="28"/>
          <w:szCs w:val="28"/>
          <w:lang w:eastAsia="zh-CN"/>
        </w:rPr>
        <w:t>2、投标人投入本项目的作业人员均为男性，年龄在 20-60周岁之间，政治素质好，无违法犯罪记录、责任心强、身体健康，且有初中以上学历，并持有公安局颁发的《保安员证》，人员数量不少于6人；</w:t>
      </w:r>
    </w:p>
    <w:p w14:paraId="1B49DB26">
      <w:pPr>
        <w:spacing w:line="560" w:lineRule="exact"/>
        <w:ind w:firstLine="560" w:firstLineChars="200"/>
        <w:rPr>
          <w:rFonts w:hint="eastAsia" w:ascii="宋体" w:hAnsi="宋体" w:cs="宋体"/>
          <w:sz w:val="28"/>
          <w:szCs w:val="28"/>
          <w:lang w:eastAsia="zh-CN"/>
        </w:rPr>
      </w:pPr>
      <w:r>
        <w:rPr>
          <w:rFonts w:hint="eastAsia" w:ascii="宋体" w:hAnsi="宋体" w:cs="宋体"/>
          <w:sz w:val="28"/>
          <w:szCs w:val="28"/>
          <w:lang w:eastAsia="zh-CN"/>
        </w:rPr>
        <w:t>3、投标人为执法辅助人员，没有法定执法权；</w:t>
      </w:r>
    </w:p>
    <w:p w14:paraId="5B215D94">
      <w:pPr>
        <w:spacing w:line="560" w:lineRule="exact"/>
        <w:ind w:firstLine="560" w:firstLineChars="200"/>
        <w:rPr>
          <w:rFonts w:hint="eastAsia" w:ascii="宋体" w:hAnsi="宋体" w:cs="宋体"/>
          <w:sz w:val="28"/>
          <w:szCs w:val="28"/>
          <w:lang w:eastAsia="zh-CN"/>
        </w:rPr>
      </w:pPr>
      <w:r>
        <w:rPr>
          <w:rFonts w:hint="eastAsia" w:ascii="宋体" w:hAnsi="宋体" w:cs="宋体"/>
          <w:sz w:val="28"/>
          <w:szCs w:val="28"/>
          <w:lang w:eastAsia="zh-CN"/>
        </w:rPr>
        <w:t>4、提供住宿，自理饮食。</w:t>
      </w:r>
    </w:p>
    <w:p w14:paraId="665625A0">
      <w:pPr>
        <w:spacing w:line="560" w:lineRule="exact"/>
        <w:ind w:firstLine="560" w:firstLineChars="200"/>
        <w:rPr>
          <w:rFonts w:hint="eastAsia" w:ascii="宋体" w:hAnsi="宋体" w:cs="宋体"/>
          <w:sz w:val="28"/>
          <w:szCs w:val="28"/>
          <w:lang w:eastAsia="zh-CN"/>
        </w:rPr>
      </w:pPr>
      <w:r>
        <w:rPr>
          <w:rFonts w:hint="eastAsia" w:ascii="宋体" w:hAnsi="宋体" w:cs="宋体"/>
          <w:sz w:val="28"/>
          <w:szCs w:val="28"/>
          <w:lang w:eastAsia="zh-CN"/>
        </w:rPr>
        <w:t>（四）服务要求</w:t>
      </w:r>
    </w:p>
    <w:p w14:paraId="4E76C4BB">
      <w:pPr>
        <w:spacing w:line="560" w:lineRule="exact"/>
        <w:ind w:firstLine="560" w:firstLineChars="200"/>
        <w:rPr>
          <w:rFonts w:hint="eastAsia" w:ascii="宋体" w:hAnsi="宋体" w:cs="宋体"/>
          <w:sz w:val="28"/>
          <w:szCs w:val="28"/>
          <w:lang w:eastAsia="zh-CN"/>
        </w:rPr>
      </w:pPr>
      <w:r>
        <w:rPr>
          <w:rFonts w:hint="eastAsia" w:ascii="宋体" w:hAnsi="宋体" w:cs="宋体"/>
          <w:sz w:val="28"/>
          <w:szCs w:val="28"/>
          <w:lang w:eastAsia="zh-CN"/>
        </w:rPr>
        <w:t>1、上岗人员必须遵守国家的法律法规，遵守采购人各项规章制度；</w:t>
      </w:r>
    </w:p>
    <w:p w14:paraId="7CE21B84">
      <w:pPr>
        <w:spacing w:line="560" w:lineRule="exact"/>
        <w:ind w:firstLine="560" w:firstLineChars="200"/>
        <w:rPr>
          <w:rFonts w:hint="eastAsia" w:ascii="宋体" w:hAnsi="宋体" w:cs="宋体"/>
          <w:sz w:val="28"/>
          <w:szCs w:val="28"/>
          <w:lang w:eastAsia="zh-CN"/>
        </w:rPr>
      </w:pPr>
      <w:r>
        <w:rPr>
          <w:rFonts w:hint="eastAsia" w:ascii="宋体" w:hAnsi="宋体" w:cs="宋体"/>
          <w:sz w:val="28"/>
          <w:szCs w:val="28"/>
          <w:lang w:eastAsia="zh-CN"/>
        </w:rPr>
        <w:t>2、积极主动协助采购人处理好治安等方面的突发事件和事故，迅速排查各种险情，及时制止违法犯罪行为；</w:t>
      </w:r>
    </w:p>
    <w:p w14:paraId="4EAB79B5">
      <w:pPr>
        <w:spacing w:line="560" w:lineRule="exact"/>
        <w:ind w:firstLine="560" w:firstLineChars="200"/>
        <w:rPr>
          <w:rFonts w:hint="eastAsia" w:ascii="宋体" w:hAnsi="宋体" w:cs="宋体"/>
          <w:sz w:val="28"/>
          <w:szCs w:val="28"/>
          <w:lang w:eastAsia="zh-CN"/>
        </w:rPr>
      </w:pPr>
      <w:r>
        <w:rPr>
          <w:rFonts w:hint="eastAsia" w:ascii="宋体" w:hAnsi="宋体" w:cs="宋体"/>
          <w:sz w:val="28"/>
          <w:szCs w:val="28"/>
          <w:lang w:eastAsia="zh-CN"/>
        </w:rPr>
        <w:t>3、坚持文明执勤，上岗人员应着统一服装及标志，服装要整洁、卫生；站岗姿势要端正规范；执勤语言要文明、纠风应先敬礼，坚持骂不还口，打不还手；</w:t>
      </w:r>
    </w:p>
    <w:p w14:paraId="73E4F340">
      <w:pPr>
        <w:spacing w:line="560" w:lineRule="exact"/>
        <w:ind w:firstLine="560" w:firstLineChars="200"/>
        <w:rPr>
          <w:rFonts w:hint="eastAsia" w:ascii="宋体" w:hAnsi="宋体" w:cs="宋体"/>
          <w:sz w:val="28"/>
          <w:szCs w:val="28"/>
          <w:lang w:eastAsia="zh-CN"/>
        </w:rPr>
      </w:pPr>
      <w:r>
        <w:rPr>
          <w:rFonts w:hint="eastAsia" w:ascii="宋体" w:hAnsi="宋体" w:cs="宋体"/>
          <w:sz w:val="28"/>
          <w:szCs w:val="28"/>
          <w:lang w:eastAsia="zh-CN"/>
        </w:rPr>
        <w:t>4、上岗人员要做到“六不”：不擅离岗位、不睡觉瞌睡、不闲聊戏闹、不下棋打牌，不喝酒聚餐、不干私活会私客；</w:t>
      </w:r>
    </w:p>
    <w:p w14:paraId="34C44497">
      <w:pPr>
        <w:spacing w:line="560" w:lineRule="exact"/>
        <w:ind w:firstLine="560" w:firstLineChars="200"/>
        <w:rPr>
          <w:rFonts w:hint="eastAsia" w:ascii="宋体" w:hAnsi="宋体" w:cs="宋体"/>
          <w:sz w:val="28"/>
          <w:szCs w:val="28"/>
          <w:lang w:eastAsia="zh-CN"/>
        </w:rPr>
      </w:pPr>
      <w:r>
        <w:rPr>
          <w:rFonts w:hint="eastAsia" w:ascii="宋体" w:hAnsi="宋体" w:cs="宋体"/>
          <w:sz w:val="28"/>
          <w:szCs w:val="28"/>
          <w:lang w:eastAsia="zh-CN"/>
        </w:rPr>
        <w:t>5、确定好服务项目责任人，上岗人员应记录好每天的巡查记录，技防卡点打卡巡逻，及时上传各类相关工作照片，随时接受采购人检查；</w:t>
      </w:r>
    </w:p>
    <w:p w14:paraId="357C2A8B">
      <w:pPr>
        <w:spacing w:line="560" w:lineRule="exact"/>
        <w:ind w:firstLine="560" w:firstLineChars="200"/>
        <w:rPr>
          <w:rFonts w:hint="eastAsia" w:ascii="宋体" w:hAnsi="宋体" w:cs="宋体"/>
          <w:sz w:val="28"/>
          <w:szCs w:val="28"/>
          <w:lang w:eastAsia="zh-CN"/>
        </w:rPr>
      </w:pPr>
      <w:r>
        <w:rPr>
          <w:rFonts w:hint="eastAsia" w:ascii="宋体" w:hAnsi="宋体" w:cs="宋体"/>
          <w:sz w:val="28"/>
          <w:szCs w:val="28"/>
          <w:lang w:eastAsia="zh-CN"/>
        </w:rPr>
        <w:t>6、阻止非法捕捞人员下江作业、劝阻下滩的游客回到堤岸以内、禁止无关车辆在江堤上通行，发现浮子筏、快艇等“三无船舶”靠泊岸堤的，第一时间向采购人报告；</w:t>
      </w:r>
    </w:p>
    <w:p w14:paraId="2E371DE7">
      <w:pPr>
        <w:spacing w:line="560" w:lineRule="exact"/>
        <w:ind w:firstLine="560" w:firstLineChars="200"/>
        <w:rPr>
          <w:rFonts w:hint="eastAsia" w:ascii="宋体" w:hAnsi="宋体" w:cs="宋体"/>
          <w:sz w:val="28"/>
          <w:szCs w:val="28"/>
          <w:lang w:eastAsia="zh-CN"/>
        </w:rPr>
      </w:pPr>
      <w:r>
        <w:rPr>
          <w:rFonts w:hint="eastAsia" w:ascii="宋体" w:hAnsi="宋体" w:cs="宋体"/>
          <w:sz w:val="28"/>
          <w:szCs w:val="28"/>
          <w:lang w:eastAsia="zh-CN"/>
        </w:rPr>
        <w:t>7、上岗人员在巡查过程中，发现护栏网、监控探头、挡浪墙、护坡有损坏现象的，及时向采购人报告；</w:t>
      </w:r>
    </w:p>
    <w:p w14:paraId="53AEB7AE">
      <w:pPr>
        <w:spacing w:line="560" w:lineRule="exact"/>
        <w:ind w:firstLine="560" w:firstLineChars="200"/>
        <w:rPr>
          <w:rFonts w:hint="eastAsia" w:ascii="宋体" w:hAnsi="宋体" w:cs="宋体"/>
          <w:sz w:val="28"/>
          <w:szCs w:val="28"/>
          <w:lang w:eastAsia="zh-CN"/>
        </w:rPr>
      </w:pPr>
      <w:r>
        <w:rPr>
          <w:rFonts w:hint="eastAsia" w:ascii="宋体" w:hAnsi="宋体" w:cs="宋体"/>
          <w:sz w:val="28"/>
          <w:szCs w:val="28"/>
          <w:lang w:eastAsia="zh-CN"/>
        </w:rPr>
        <w:t>8、防汛防台防风暴潮期间协助采购人做好相关工作；</w:t>
      </w:r>
    </w:p>
    <w:p w14:paraId="191F380E">
      <w:pPr>
        <w:spacing w:line="560" w:lineRule="exact"/>
        <w:ind w:firstLine="560" w:firstLineChars="200"/>
        <w:rPr>
          <w:rFonts w:hint="eastAsia" w:ascii="宋体" w:hAnsi="宋体" w:cs="宋体"/>
          <w:sz w:val="28"/>
          <w:szCs w:val="28"/>
          <w:lang w:eastAsia="zh-CN"/>
        </w:rPr>
      </w:pPr>
      <w:r>
        <w:rPr>
          <w:rFonts w:hint="eastAsia" w:ascii="宋体" w:hAnsi="宋体" w:cs="宋体"/>
          <w:sz w:val="28"/>
          <w:szCs w:val="28"/>
          <w:lang w:eastAsia="zh-CN"/>
        </w:rPr>
        <w:t>9、应在采购人的业务指导下，为巡查人员配备交通车辆、巡逻工具、巡逻记录仪等必要装备。</w:t>
      </w:r>
    </w:p>
    <w:p w14:paraId="4700A112">
      <w:pPr>
        <w:spacing w:line="560" w:lineRule="exact"/>
        <w:ind w:firstLine="560" w:firstLineChars="200"/>
        <w:rPr>
          <w:rFonts w:hint="eastAsia" w:ascii="宋体" w:hAnsi="宋体" w:cs="宋体"/>
          <w:sz w:val="28"/>
          <w:szCs w:val="28"/>
          <w:lang w:eastAsia="zh-CN"/>
        </w:rPr>
      </w:pPr>
      <w:r>
        <w:rPr>
          <w:rFonts w:hint="eastAsia" w:ascii="宋体" w:hAnsi="宋体" w:cs="宋体"/>
          <w:sz w:val="28"/>
          <w:szCs w:val="28"/>
          <w:lang w:eastAsia="zh-CN"/>
        </w:rPr>
        <w:t>（五）考核方式</w:t>
      </w:r>
    </w:p>
    <w:p w14:paraId="338EE171">
      <w:pPr>
        <w:spacing w:line="560" w:lineRule="exact"/>
        <w:ind w:firstLine="560" w:firstLineChars="200"/>
        <w:rPr>
          <w:rFonts w:hint="eastAsia" w:ascii="宋体" w:hAnsi="宋体" w:cs="宋体"/>
          <w:sz w:val="28"/>
          <w:szCs w:val="28"/>
          <w:lang w:eastAsia="zh-CN"/>
        </w:rPr>
      </w:pPr>
      <w:r>
        <w:rPr>
          <w:rFonts w:hint="eastAsia" w:ascii="宋体" w:hAnsi="宋体" w:cs="宋体"/>
          <w:sz w:val="28"/>
          <w:szCs w:val="28"/>
          <w:lang w:eastAsia="zh-CN"/>
        </w:rPr>
        <w:t>1、考核实施：由相关部门对服务公司实施考核；</w:t>
      </w:r>
    </w:p>
    <w:p w14:paraId="0B4F6307">
      <w:pPr>
        <w:spacing w:line="560" w:lineRule="exact"/>
        <w:ind w:firstLine="560" w:firstLineChars="200"/>
        <w:rPr>
          <w:rFonts w:hint="eastAsia" w:ascii="宋体" w:hAnsi="宋体" w:cs="宋体"/>
          <w:sz w:val="28"/>
          <w:szCs w:val="28"/>
          <w:lang w:eastAsia="zh-CN"/>
        </w:rPr>
      </w:pPr>
      <w:r>
        <w:rPr>
          <w:rFonts w:hint="eastAsia" w:ascii="宋体" w:hAnsi="宋体" w:cs="宋体"/>
          <w:sz w:val="28"/>
          <w:szCs w:val="28"/>
          <w:lang w:eastAsia="zh-CN"/>
        </w:rPr>
        <w:t>2、考核办法：相关部门按照考核要求和服务公司提交的工作总结以及各月工作台账、抽查情况，包括群众的反映等，对服务公司进行综合评分考核；</w:t>
      </w:r>
    </w:p>
    <w:p w14:paraId="1EFEA8F8">
      <w:pPr>
        <w:spacing w:line="560" w:lineRule="exact"/>
        <w:ind w:firstLine="560" w:firstLineChars="200"/>
        <w:rPr>
          <w:rFonts w:hint="eastAsia" w:ascii="宋体" w:hAnsi="宋体" w:cs="宋体"/>
          <w:sz w:val="28"/>
          <w:szCs w:val="28"/>
          <w:lang w:eastAsia="zh-CN"/>
        </w:rPr>
      </w:pPr>
      <w:r>
        <w:rPr>
          <w:rFonts w:hint="eastAsia" w:ascii="宋体" w:hAnsi="宋体" w:cs="宋体"/>
          <w:sz w:val="28"/>
          <w:szCs w:val="28"/>
          <w:lang w:eastAsia="zh-CN"/>
        </w:rPr>
        <w:t>3、处罚：凡每个考核周期内或半年内或合同期内，因工作失误导致没有及时发现或没有劝阻、没有及时报告而发生私自下江观光，造成一定影响或产生后果的对服务公司予以处罚，每发生一起，视情节扣罚500—2000元；发生死亡事故的，加倍处罚；导致死亡而产生社会和不良影响的，合同到期不再予以续签。</w:t>
      </w:r>
    </w:p>
    <w:p w14:paraId="0EFAA3D5">
      <w:pPr>
        <w:spacing w:line="560" w:lineRule="exact"/>
        <w:ind w:firstLine="560" w:firstLineChars="200"/>
        <w:rPr>
          <w:rFonts w:hint="eastAsia" w:ascii="宋体" w:hAnsi="宋体" w:cs="宋体"/>
          <w:sz w:val="28"/>
          <w:szCs w:val="28"/>
          <w:lang w:eastAsia="zh-CN"/>
        </w:rPr>
      </w:pPr>
      <w:r>
        <w:rPr>
          <w:rFonts w:hint="eastAsia" w:ascii="宋体" w:hAnsi="宋体" w:cs="宋体"/>
          <w:sz w:val="28"/>
          <w:szCs w:val="28"/>
          <w:lang w:eastAsia="zh-CN"/>
        </w:rPr>
        <w:t>（六）其他要求</w:t>
      </w:r>
    </w:p>
    <w:p w14:paraId="20CB1103">
      <w:pPr>
        <w:spacing w:line="560" w:lineRule="exact"/>
        <w:ind w:firstLine="560" w:firstLineChars="200"/>
        <w:rPr>
          <w:rFonts w:hint="eastAsia" w:ascii="宋体" w:hAnsi="宋体" w:cs="宋体"/>
          <w:sz w:val="28"/>
          <w:szCs w:val="28"/>
          <w:lang w:eastAsia="zh-CN"/>
        </w:rPr>
      </w:pPr>
      <w:r>
        <w:rPr>
          <w:rFonts w:hint="eastAsia" w:ascii="宋体" w:hAnsi="宋体" w:cs="宋体"/>
          <w:sz w:val="28"/>
          <w:szCs w:val="28"/>
          <w:lang w:eastAsia="zh-CN"/>
        </w:rPr>
        <w:t>1、服务公司应经常对保安人员进行教育、培训和严格管理，以提高保安人员的素质，适应采购人工作需要。采购人应定期通报有关情况，协助、配合服务公司做好人员培训和管理工作；</w:t>
      </w:r>
    </w:p>
    <w:p w14:paraId="415C4A95">
      <w:pPr>
        <w:spacing w:line="560" w:lineRule="exact"/>
        <w:ind w:firstLine="560" w:firstLineChars="200"/>
        <w:rPr>
          <w:rFonts w:hint="eastAsia" w:ascii="宋体" w:hAnsi="宋体" w:cs="宋体"/>
          <w:sz w:val="28"/>
          <w:szCs w:val="28"/>
          <w:lang w:eastAsia="zh-CN"/>
        </w:rPr>
      </w:pPr>
      <w:r>
        <w:rPr>
          <w:rFonts w:hint="eastAsia" w:ascii="宋体" w:hAnsi="宋体" w:cs="宋体"/>
          <w:sz w:val="28"/>
          <w:szCs w:val="28"/>
          <w:lang w:eastAsia="zh-CN"/>
        </w:rPr>
        <w:t>2、采购人有权提出更换不称职人员，服务公司应及时接受采购人的要求（最迟7个工作日更换好）；</w:t>
      </w:r>
    </w:p>
    <w:p w14:paraId="7A7A1841">
      <w:pPr>
        <w:spacing w:line="560" w:lineRule="exact"/>
        <w:ind w:firstLine="560" w:firstLineChars="200"/>
        <w:rPr>
          <w:rFonts w:hint="eastAsia" w:ascii="宋体" w:hAnsi="宋体" w:cs="宋体"/>
          <w:sz w:val="28"/>
          <w:szCs w:val="28"/>
          <w:lang w:eastAsia="zh-CN"/>
        </w:rPr>
      </w:pPr>
      <w:r>
        <w:rPr>
          <w:rFonts w:hint="eastAsia" w:ascii="宋体" w:hAnsi="宋体" w:cs="宋体"/>
          <w:sz w:val="28"/>
          <w:szCs w:val="28"/>
          <w:lang w:eastAsia="zh-CN"/>
        </w:rPr>
        <w:t>3、服务公司必须根据《劳动合同法》的有关规定与派遣人员签订劳动合同，明确劳动关系并依法支付劳动报酬和交纳社会保险等费用。如发生劳资纠纷，均由服务公司负责处理，与采购人无关；</w:t>
      </w:r>
    </w:p>
    <w:p w14:paraId="7EDD68E3">
      <w:pPr>
        <w:spacing w:line="560" w:lineRule="exact"/>
        <w:ind w:firstLine="560" w:firstLineChars="200"/>
        <w:rPr>
          <w:rFonts w:hint="eastAsia" w:ascii="宋体" w:hAnsi="宋体" w:cs="宋体"/>
          <w:sz w:val="28"/>
          <w:szCs w:val="28"/>
          <w:lang w:eastAsia="zh-CN"/>
        </w:rPr>
      </w:pPr>
      <w:r>
        <w:rPr>
          <w:rFonts w:hint="eastAsia" w:ascii="宋体" w:hAnsi="宋体" w:cs="宋体"/>
          <w:sz w:val="28"/>
          <w:szCs w:val="28"/>
          <w:lang w:eastAsia="zh-CN"/>
        </w:rPr>
        <w:t>4、如有派遣人员离职时，服务公司应及时安排适合人员上岗，不得出现空岗现象。派遣人员在岗时因工伤亡的，其处理过程和经济赔偿均由服务公司负责，采购人不承担任何责任。</w:t>
      </w:r>
    </w:p>
    <w:p w14:paraId="602E9043">
      <w:pPr>
        <w:spacing w:line="560" w:lineRule="exact"/>
        <w:ind w:firstLine="560" w:firstLineChars="200"/>
        <w:rPr>
          <w:rFonts w:hint="eastAsia" w:ascii="宋体" w:hAnsi="宋体" w:cs="宋体"/>
          <w:sz w:val="28"/>
          <w:szCs w:val="28"/>
        </w:rPr>
      </w:pPr>
      <w:r>
        <w:rPr>
          <w:rFonts w:hint="eastAsia" w:ascii="宋体" w:hAnsi="宋体" w:cs="宋体"/>
          <w:sz w:val="28"/>
          <w:szCs w:val="28"/>
          <w:lang w:eastAsia="zh-CN"/>
        </w:rPr>
        <w:t>（</w:t>
      </w:r>
      <w:r>
        <w:rPr>
          <w:rFonts w:hint="eastAsia" w:ascii="宋体" w:hAnsi="宋体" w:cs="宋体"/>
          <w:sz w:val="28"/>
          <w:szCs w:val="28"/>
          <w:lang w:val="en-US" w:eastAsia="zh-CN"/>
        </w:rPr>
        <w:t>七</w:t>
      </w:r>
      <w:r>
        <w:rPr>
          <w:rFonts w:hint="eastAsia" w:ascii="宋体" w:hAnsi="宋体" w:cs="宋体"/>
          <w:sz w:val="28"/>
          <w:szCs w:val="28"/>
          <w:lang w:eastAsia="zh-CN"/>
        </w:rPr>
        <w:t>）</w:t>
      </w:r>
      <w:r>
        <w:rPr>
          <w:rFonts w:hint="eastAsia" w:ascii="宋体" w:hAnsi="宋体" w:cs="宋体"/>
          <w:sz w:val="28"/>
          <w:szCs w:val="28"/>
        </w:rPr>
        <w:t>服务周期：一年。根据《政府购买服务管理办法》第二十四条规定，本项目根据采购结果，采取一次招标三年沿用。服务期自合同签订之日起一年，实行一年一考核一续签合同的办法，一年合同期满后，采购人可自主决定是否续签下一年度合同。如采购人因未获得预算批复或次年预算压减或需求变化等其他原因经书面通知供应商后，合同到期终止不再续签，供应商自行承担相应风险。），如果中标（成交）供应商没有达到合同所要求履行条件之一的，则采购人有权在委托期限内随时终止合同。”。</w:t>
      </w:r>
    </w:p>
    <w:p w14:paraId="2AB91AA2">
      <w:pPr>
        <w:spacing w:line="500" w:lineRule="exact"/>
        <w:ind w:firstLine="562"/>
        <w:rPr>
          <w:rFonts w:hint="eastAsia" w:ascii="宋体" w:hAnsi="宋体" w:cs="宋体"/>
          <w:b w:val="0"/>
          <w:bCs w:val="0"/>
          <w:sz w:val="28"/>
          <w:szCs w:val="28"/>
          <w:lang w:val="en-US" w:eastAsia="zh-CN"/>
        </w:rPr>
      </w:pPr>
      <w:r>
        <w:rPr>
          <w:rFonts w:hint="eastAsia" w:ascii="宋体" w:hAnsi="宋体" w:cs="宋体"/>
          <w:b w:val="0"/>
          <w:bCs w:val="0"/>
          <w:sz w:val="28"/>
          <w:szCs w:val="28"/>
          <w:lang w:val="en-US" w:eastAsia="zh-CN"/>
        </w:rPr>
        <w:t>（八）报价要求：</w:t>
      </w:r>
    </w:p>
    <w:p w14:paraId="79DA33AF">
      <w:pPr>
        <w:spacing w:line="500" w:lineRule="exact"/>
        <w:ind w:firstLine="562"/>
        <w:rPr>
          <w:rFonts w:hint="eastAsia" w:ascii="宋体" w:hAnsi="宋体" w:cs="宋体"/>
          <w:sz w:val="28"/>
          <w:szCs w:val="28"/>
        </w:rPr>
      </w:pPr>
      <w:r>
        <w:rPr>
          <w:rFonts w:hint="eastAsia" w:ascii="宋体" w:hAnsi="宋体" w:cs="宋体"/>
          <w:sz w:val="28"/>
          <w:szCs w:val="28"/>
        </w:rPr>
        <w:t>本项目采用固定总价报价，本项目报价包括（但不限于）完成本项目所有服务人员的工资、福利费、培训费、交通费、交通工具费、通讯费、各项保险和基金、服装费、服务工具、管理费、利润及税金等与履行合同有关的一切费用以及合同明示或暗示的所有一般风险责任和义务费用，合同价在合同实施期间不因市场价格波动和各种风险因素的发生而变动。</w:t>
      </w:r>
    </w:p>
    <w:p w14:paraId="441F9A29">
      <w:pPr>
        <w:spacing w:line="500" w:lineRule="exact"/>
        <w:ind w:firstLine="562"/>
        <w:rPr>
          <w:rFonts w:hint="eastAsia" w:ascii="宋体" w:hAnsi="宋体"/>
          <w:b/>
          <w:sz w:val="28"/>
          <w:szCs w:val="28"/>
        </w:rPr>
      </w:pPr>
      <w:r>
        <w:rPr>
          <w:rFonts w:hint="eastAsia" w:ascii="宋体" w:hAnsi="宋体"/>
          <w:b/>
          <w:sz w:val="28"/>
          <w:szCs w:val="28"/>
          <w:lang w:val="en-US" w:eastAsia="zh-CN"/>
        </w:rPr>
        <w:t>四</w:t>
      </w:r>
      <w:r>
        <w:rPr>
          <w:rFonts w:hint="eastAsia" w:ascii="宋体" w:hAnsi="宋体"/>
          <w:b/>
          <w:sz w:val="28"/>
          <w:szCs w:val="28"/>
        </w:rPr>
        <w:t>、</w:t>
      </w:r>
      <w:r>
        <w:rPr>
          <w:rFonts w:ascii="宋体" w:hAnsi="宋体"/>
          <w:b/>
          <w:sz w:val="28"/>
          <w:szCs w:val="28"/>
        </w:rPr>
        <w:t>付款方式</w:t>
      </w:r>
      <w:r>
        <w:rPr>
          <w:rFonts w:hint="eastAsia" w:ascii="宋体" w:hAnsi="宋体"/>
          <w:b/>
          <w:sz w:val="28"/>
          <w:szCs w:val="28"/>
        </w:rPr>
        <w:t>：</w:t>
      </w:r>
    </w:p>
    <w:p w14:paraId="6A1B31AB">
      <w:pPr>
        <w:spacing w:line="500" w:lineRule="exact"/>
        <w:ind w:firstLine="562"/>
        <w:rPr>
          <w:rFonts w:hint="eastAsia" w:ascii="宋体" w:hAnsi="宋体"/>
          <w:sz w:val="28"/>
          <w:szCs w:val="28"/>
          <w:lang w:val="zh-CN"/>
        </w:rPr>
      </w:pPr>
      <w:r>
        <w:rPr>
          <w:rFonts w:hint="eastAsia" w:ascii="宋体" w:hAnsi="宋体"/>
          <w:sz w:val="28"/>
          <w:szCs w:val="28"/>
          <w:lang w:val="zh-CN"/>
        </w:rPr>
        <w:t>经采购人考核后，采购人与中标人应在次季度首月15日前核对好上一季度的保安服务费金额，核对无误后中标人向采购人开具正规劳务专业发票，采购人向中标人付清上一季度的保安服务费。</w:t>
      </w:r>
    </w:p>
    <w:p w14:paraId="38B1B73E">
      <w:pPr>
        <w:spacing w:line="500" w:lineRule="exact"/>
        <w:ind w:firstLine="562"/>
        <w:rPr>
          <w:rFonts w:hint="eastAsia" w:ascii="宋体" w:hAnsi="宋体"/>
          <w:b/>
          <w:bCs/>
          <w:sz w:val="28"/>
          <w:szCs w:val="28"/>
          <w:highlight w:val="none"/>
        </w:rPr>
      </w:pPr>
      <w:r>
        <w:rPr>
          <w:rFonts w:hint="eastAsia" w:ascii="宋体" w:hAnsi="宋体"/>
          <w:b/>
          <w:sz w:val="28"/>
          <w:szCs w:val="28"/>
          <w:lang w:val="en-US" w:eastAsia="zh-CN"/>
        </w:rPr>
        <w:t>五</w:t>
      </w:r>
      <w:r>
        <w:rPr>
          <w:rFonts w:hint="eastAsia" w:ascii="宋体" w:hAnsi="宋体"/>
          <w:b/>
          <w:sz w:val="28"/>
          <w:szCs w:val="28"/>
        </w:rPr>
        <w:t>、履约保证金：</w:t>
      </w:r>
    </w:p>
    <w:p w14:paraId="404BA82C">
      <w:pPr>
        <w:spacing w:line="500" w:lineRule="exact"/>
        <w:ind w:firstLine="560"/>
        <w:jc w:val="left"/>
        <w:rPr>
          <w:rFonts w:hint="eastAsia" w:ascii="宋体" w:hAnsi="宋体"/>
          <w:sz w:val="28"/>
          <w:szCs w:val="28"/>
        </w:rPr>
      </w:pPr>
      <w:r>
        <w:rPr>
          <w:rFonts w:hint="eastAsia" w:ascii="宋体" w:hAnsi="宋体"/>
          <w:sz w:val="28"/>
          <w:szCs w:val="28"/>
        </w:rPr>
        <w:t xml:space="preserve"> 1、合同价的10%；递交形式：数字人民币或银行汇票或银行转账或银行保函或保险保函，如履约保证金为保函，保函有效期应与实际工期一致，本项目工期延长的，继续提供履约担保所增加的费用由承包人承担；如发生保函无效或到期未提前续保等不能赔付情形的，招标人有权在应付款项中直接扣除保函金额并转为履约保证金。须在签订合同前向招标人足额提交履约保证金，否则招标人可以取消其中标资格。</w:t>
      </w:r>
    </w:p>
    <w:p w14:paraId="27CFD9C5">
      <w:pPr>
        <w:spacing w:line="500" w:lineRule="exact"/>
        <w:ind w:firstLine="560"/>
        <w:jc w:val="left"/>
        <w:rPr>
          <w:rFonts w:hint="eastAsia" w:ascii="宋体" w:hAnsi="宋体"/>
          <w:sz w:val="28"/>
          <w:szCs w:val="28"/>
        </w:rPr>
      </w:pPr>
      <w:r>
        <w:rPr>
          <w:rFonts w:hint="eastAsia" w:ascii="宋体" w:hAnsi="宋体"/>
          <w:sz w:val="28"/>
          <w:szCs w:val="28"/>
        </w:rPr>
        <w:t xml:space="preserve">2、成交供应商全部履约合同义务且无质量、进度问题，在施工图设计完成并通过审核后一次性退还履约保证金。  </w:t>
      </w:r>
    </w:p>
    <w:p w14:paraId="2823696B">
      <w:pPr>
        <w:spacing w:line="500" w:lineRule="exact"/>
        <w:ind w:firstLine="560"/>
        <w:jc w:val="left"/>
        <w:rPr>
          <w:rFonts w:hint="eastAsia" w:ascii="宋体" w:hAnsi="宋体"/>
          <w:sz w:val="28"/>
          <w:szCs w:val="28"/>
        </w:rPr>
      </w:pPr>
      <w:r>
        <w:rPr>
          <w:rFonts w:hint="eastAsia" w:ascii="宋体" w:hAnsi="宋体"/>
          <w:sz w:val="28"/>
          <w:szCs w:val="28"/>
        </w:rPr>
        <w:t>3、发生以下情况的，履约保证金不予退还或部分退还：</w:t>
      </w:r>
    </w:p>
    <w:p w14:paraId="3BDD151D">
      <w:pPr>
        <w:spacing w:line="500" w:lineRule="exact"/>
        <w:ind w:firstLine="0"/>
        <w:jc w:val="left"/>
        <w:rPr>
          <w:rFonts w:hint="eastAsia" w:ascii="宋体" w:hAnsi="宋体"/>
          <w:sz w:val="28"/>
          <w:szCs w:val="28"/>
        </w:rPr>
      </w:pPr>
      <w:r>
        <w:rPr>
          <w:rFonts w:hint="eastAsia" w:ascii="宋体" w:hAnsi="宋体"/>
          <w:sz w:val="28"/>
          <w:szCs w:val="28"/>
        </w:rPr>
        <w:t xml:space="preserve">     a.签订合同后，中标供应商不履行合同义务的，采购单位有权全额扣除履约保证金，全额不予退还，同时采购单位亦有权终止合同，中标供应商还须承担相应的法律赔偿责任。</w:t>
      </w:r>
    </w:p>
    <w:p w14:paraId="6E4DEFAA">
      <w:pPr>
        <w:spacing w:line="500" w:lineRule="exact"/>
        <w:ind w:firstLine="560"/>
        <w:jc w:val="left"/>
        <w:rPr>
          <w:rFonts w:hint="eastAsia" w:ascii="宋体" w:hAnsi="宋体"/>
          <w:sz w:val="28"/>
          <w:szCs w:val="28"/>
        </w:rPr>
      </w:pPr>
      <w:r>
        <w:rPr>
          <w:rFonts w:hint="eastAsia" w:ascii="宋体" w:hAnsi="宋体"/>
          <w:sz w:val="28"/>
          <w:szCs w:val="28"/>
        </w:rPr>
        <w:t xml:space="preserve"> b.中标供应商在履约过程中发生违约行为，给采购单位造成损失的，采购单位有权在中标供应商缴纳的履约保证金中予以扣款，以弥补采购单位经济损失，不足的部分中标供应商另外补齐。</w:t>
      </w:r>
    </w:p>
    <w:p w14:paraId="47458048">
      <w:pPr>
        <w:spacing w:line="500" w:lineRule="exact"/>
        <w:rPr>
          <w:rFonts w:hint="eastAsia" w:eastAsia="方正仿宋_GBK"/>
          <w:b/>
          <w:sz w:val="28"/>
          <w:szCs w:val="28"/>
          <w:highlight w:val="yellow"/>
        </w:rPr>
      </w:pPr>
    </w:p>
    <w:p w14:paraId="103F6498">
      <w:pPr>
        <w:spacing w:line="500" w:lineRule="exact"/>
        <w:ind w:firstLine="560"/>
        <w:rPr>
          <w:rFonts w:hint="eastAsia" w:ascii="宋体" w:hAnsi="宋体" w:cs="宋体"/>
          <w:sz w:val="28"/>
          <w:szCs w:val="28"/>
        </w:rPr>
      </w:pPr>
    </w:p>
    <w:p w14:paraId="04888667">
      <w:pPr>
        <w:spacing w:line="500" w:lineRule="exact"/>
        <w:jc w:val="center"/>
        <w:outlineLvl w:val="0"/>
        <w:rPr>
          <w:rFonts w:hint="eastAsia" w:ascii="宋体" w:hAnsi="宋体" w:cs="宋体"/>
          <w:bCs/>
          <w:sz w:val="36"/>
          <w:szCs w:val="36"/>
        </w:rPr>
      </w:pPr>
      <w:r>
        <w:rPr>
          <w:rFonts w:hint="eastAsia" w:ascii="宋体" w:hAnsi="宋体" w:cs="宋体"/>
          <w:bCs/>
          <w:sz w:val="36"/>
          <w:szCs w:val="36"/>
        </w:rPr>
        <w:br w:type="page" w:clear="all"/>
      </w:r>
      <w:r>
        <w:rPr>
          <w:rFonts w:hint="eastAsia" w:ascii="宋体" w:hAnsi="宋体" w:cs="宋体"/>
          <w:bCs/>
          <w:sz w:val="36"/>
          <w:szCs w:val="36"/>
        </w:rPr>
        <w:t>第四部分   评审方法和评审标准</w:t>
      </w:r>
    </w:p>
    <w:p w14:paraId="77E1C5FC">
      <w:pPr>
        <w:spacing w:line="500" w:lineRule="exact"/>
        <w:ind w:firstLine="562"/>
        <w:jc w:val="left"/>
        <w:rPr>
          <w:rFonts w:hint="eastAsia" w:ascii="宋体" w:hAnsi="宋体" w:cs="宋体"/>
          <w:b/>
          <w:sz w:val="28"/>
          <w:szCs w:val="28"/>
        </w:rPr>
      </w:pPr>
      <w:r>
        <w:rPr>
          <w:rFonts w:hint="eastAsia" w:ascii="宋体" w:hAnsi="宋体" w:cs="宋体"/>
          <w:b/>
          <w:sz w:val="28"/>
          <w:szCs w:val="28"/>
        </w:rPr>
        <w:t>一、磋商方式</w:t>
      </w:r>
    </w:p>
    <w:p w14:paraId="77DADD18">
      <w:pPr>
        <w:tabs>
          <w:tab w:val="left" w:pos="3585"/>
        </w:tabs>
        <w:spacing w:line="500" w:lineRule="exact"/>
        <w:ind w:firstLine="560"/>
        <w:rPr>
          <w:rFonts w:hint="eastAsia" w:ascii="宋体" w:hAnsi="宋体" w:cs="宋体"/>
          <w:sz w:val="28"/>
          <w:szCs w:val="28"/>
        </w:rPr>
      </w:pPr>
      <w:r>
        <w:rPr>
          <w:rFonts w:hint="eastAsia" w:ascii="宋体" w:hAnsi="宋体" w:cs="宋体"/>
          <w:sz w:val="28"/>
          <w:szCs w:val="28"/>
        </w:rPr>
        <w:t>本项目为见面开标。</w:t>
      </w:r>
    </w:p>
    <w:p w14:paraId="3BAC3BF7">
      <w:pPr>
        <w:spacing w:line="500" w:lineRule="exact"/>
        <w:ind w:firstLine="562"/>
        <w:jc w:val="left"/>
        <w:rPr>
          <w:rFonts w:hint="eastAsia" w:ascii="宋体" w:hAnsi="宋体" w:cs="宋体"/>
          <w:b/>
          <w:sz w:val="28"/>
          <w:szCs w:val="28"/>
        </w:rPr>
      </w:pPr>
      <w:r>
        <w:rPr>
          <w:rFonts w:hint="eastAsia" w:ascii="宋体" w:hAnsi="宋体" w:cs="宋体"/>
          <w:b/>
          <w:sz w:val="28"/>
          <w:szCs w:val="28"/>
        </w:rPr>
        <w:t>二、磋商程序及评审方法和标准</w:t>
      </w:r>
    </w:p>
    <w:p w14:paraId="31BCD3B9">
      <w:pPr>
        <w:spacing w:line="560" w:lineRule="exact"/>
        <w:ind w:firstLine="560" w:firstLineChars="200"/>
        <w:jc w:val="left"/>
        <w:rPr>
          <w:rFonts w:hint="eastAsia" w:ascii="宋体" w:hAnsi="宋体" w:cs="宋体"/>
          <w:bCs/>
          <w:sz w:val="28"/>
          <w:szCs w:val="28"/>
        </w:rPr>
      </w:pPr>
      <w:r>
        <w:rPr>
          <w:rFonts w:hint="eastAsia" w:ascii="宋体" w:hAnsi="宋体" w:cs="仿宋"/>
          <w:sz w:val="28"/>
          <w:szCs w:val="28"/>
          <w:lang w:val="zh-CN"/>
        </w:rPr>
        <w:t>采用综合评分法。分资格审查、商务技术标、价格标、三部分评审，总分值为100分，加分和减分因素除外。</w:t>
      </w:r>
    </w:p>
    <w:p w14:paraId="3B9A603A">
      <w:pPr>
        <w:spacing w:line="500" w:lineRule="exact"/>
        <w:ind w:firstLine="560" w:firstLineChars="200"/>
        <w:rPr>
          <w:rFonts w:hint="eastAsia" w:ascii="宋体" w:hAnsi="宋体" w:cs="宋体"/>
          <w:bCs/>
          <w:sz w:val="28"/>
          <w:szCs w:val="28"/>
        </w:rPr>
      </w:pPr>
      <w:r>
        <w:rPr>
          <w:rFonts w:hint="eastAsia" w:ascii="宋体" w:hAnsi="宋体" w:cs="宋体"/>
          <w:bCs/>
          <w:sz w:val="28"/>
          <w:szCs w:val="28"/>
        </w:rPr>
        <w:t xml:space="preserve">首先由对投标人资格进行审查，然后对符合资格的投标人的投标文件进行符合性审查，最后对符合性审查合格的投标文件商务、技术部分进行评估，综合比较与评价。待商务技术标评审结束后，进行价格标的开启、评审。投标人商务、技术部分和价格部分的合计分值，为该投标人的评标总得分。  </w:t>
      </w:r>
    </w:p>
    <w:p w14:paraId="5BC37C66">
      <w:pPr>
        <w:spacing w:line="500" w:lineRule="exact"/>
        <w:ind w:firstLine="560" w:firstLineChars="200"/>
        <w:rPr>
          <w:rFonts w:hint="eastAsia" w:ascii="宋体" w:hAnsi="宋体" w:cs="宋体"/>
          <w:bCs/>
          <w:sz w:val="28"/>
          <w:szCs w:val="28"/>
        </w:rPr>
      </w:pPr>
      <w:r>
        <w:rPr>
          <w:rFonts w:hint="eastAsia" w:ascii="宋体" w:hAnsi="宋体" w:cs="宋体"/>
          <w:bCs/>
          <w:sz w:val="28"/>
          <w:szCs w:val="28"/>
        </w:rPr>
        <w:t>商务技术部分评审结束后进入最后报价环节，最后报价将作为评审价。所有的响应供应商须在20分钟内填写并提交最后报价，未在规定时间内提交最后报价的或超过第一轮报价的，视作无效响应处理。</w:t>
      </w:r>
    </w:p>
    <w:p w14:paraId="4B4373B3">
      <w:pPr>
        <w:spacing w:line="500" w:lineRule="exact"/>
        <w:ind w:firstLine="560" w:firstLineChars="200"/>
        <w:rPr>
          <w:rFonts w:hint="eastAsia" w:ascii="宋体" w:hAnsi="宋体" w:cs="宋体"/>
          <w:bCs/>
          <w:sz w:val="28"/>
          <w:szCs w:val="28"/>
        </w:rPr>
      </w:pPr>
      <w:r>
        <w:rPr>
          <w:rFonts w:hint="eastAsia" w:ascii="宋体" w:hAnsi="宋体" w:cs="宋体"/>
          <w:bCs/>
          <w:sz w:val="28"/>
          <w:szCs w:val="28"/>
        </w:rPr>
        <w:t>最后报价是供应商响应文件的有效组成部分。提交最后报价的供应商不得少于3家；只有符合《政府采购竞争性磋商采购方式管理暂行办法》第三条第四项及《财政部关于竞争性磋商采购方式管理暂行办法有关问题的补充通知》（财库[2015]124号）规定情形的，提交最后报价的供应商可以为2家。</w:t>
      </w:r>
    </w:p>
    <w:p w14:paraId="14289D65">
      <w:pPr>
        <w:spacing w:line="500" w:lineRule="exact"/>
        <w:ind w:firstLine="560" w:firstLineChars="200"/>
        <w:rPr>
          <w:rFonts w:hint="eastAsia" w:ascii="宋体" w:hAnsi="宋体" w:cs="宋体"/>
          <w:bCs/>
          <w:sz w:val="28"/>
          <w:szCs w:val="28"/>
        </w:rPr>
      </w:pPr>
      <w:r>
        <w:rPr>
          <w:rFonts w:hint="eastAsia" w:ascii="宋体" w:hAnsi="宋体" w:cs="宋体"/>
          <w:bCs/>
          <w:sz w:val="28"/>
          <w:szCs w:val="28"/>
        </w:rPr>
        <w:t>供应商商务、技术部分和价格部分的合计分值，为该供应商的评审总得分。</w:t>
      </w:r>
    </w:p>
    <w:p w14:paraId="61B74515">
      <w:pPr>
        <w:spacing w:line="500" w:lineRule="exact"/>
        <w:ind w:firstLine="560" w:firstLineChars="200"/>
        <w:rPr>
          <w:rFonts w:hint="eastAsia" w:ascii="宋体" w:hAnsi="宋体" w:cs="宋体"/>
          <w:bCs/>
          <w:sz w:val="28"/>
          <w:szCs w:val="28"/>
        </w:rPr>
      </w:pPr>
      <w:r>
        <w:rPr>
          <w:rFonts w:hint="eastAsia" w:ascii="宋体" w:hAnsi="宋体" w:cs="宋体"/>
          <w:bCs/>
          <w:sz w:val="28"/>
          <w:szCs w:val="28"/>
        </w:rPr>
        <w:t>评委在认真审阅响应文件的基础上，根据各响应文件的响应程度独立评判，不得统一打分。</w:t>
      </w:r>
    </w:p>
    <w:p w14:paraId="46B9154F">
      <w:pPr>
        <w:spacing w:line="500" w:lineRule="exact"/>
        <w:ind w:firstLine="562" w:firstLineChars="200"/>
        <w:rPr>
          <w:rFonts w:hint="eastAsia" w:ascii="宋体" w:hAnsi="宋体" w:cs="宋体"/>
          <w:b/>
          <w:sz w:val="28"/>
          <w:szCs w:val="28"/>
        </w:rPr>
      </w:pPr>
      <w:r>
        <w:rPr>
          <w:rFonts w:hint="eastAsia" w:ascii="宋体" w:hAnsi="宋体" w:cs="宋体"/>
          <w:b/>
          <w:sz w:val="28"/>
          <w:szCs w:val="28"/>
        </w:rPr>
        <w:t>（一）评标委员会对供应商资格进行审查。</w:t>
      </w:r>
    </w:p>
    <w:p w14:paraId="6C0E860C">
      <w:pPr>
        <w:spacing w:line="500" w:lineRule="exact"/>
        <w:ind w:firstLine="577"/>
        <w:rPr>
          <w:rFonts w:hint="eastAsia" w:ascii="宋体" w:hAnsi="宋体" w:cs="宋体"/>
          <w:sz w:val="28"/>
          <w:szCs w:val="28"/>
        </w:rPr>
      </w:pPr>
      <w:r>
        <w:rPr>
          <w:rFonts w:hint="eastAsia" w:ascii="宋体" w:hAnsi="宋体" w:cs="宋体"/>
          <w:sz w:val="28"/>
          <w:szCs w:val="28"/>
        </w:rPr>
        <w:t>投标人资格不合格的，其投标文件判定为无效投标文件。</w:t>
      </w:r>
    </w:p>
    <w:p w14:paraId="3BE82CA7">
      <w:pPr>
        <w:spacing w:line="500" w:lineRule="exact"/>
        <w:ind w:firstLine="562" w:firstLineChars="200"/>
        <w:jc w:val="left"/>
        <w:rPr>
          <w:rFonts w:hint="eastAsia" w:ascii="宋体" w:hAnsi="宋体" w:cs="宋体"/>
          <w:b/>
          <w:sz w:val="28"/>
          <w:szCs w:val="28"/>
        </w:rPr>
      </w:pPr>
      <w:r>
        <w:rPr>
          <w:rFonts w:hint="eastAsia" w:ascii="宋体" w:hAnsi="宋体" w:cs="宋体"/>
          <w:b/>
          <w:sz w:val="28"/>
          <w:szCs w:val="28"/>
        </w:rPr>
        <w:t>（二）评标委员会对符合资格投标人的投标文件进行符合性审查。</w:t>
      </w:r>
    </w:p>
    <w:p w14:paraId="797C7ED7">
      <w:pPr>
        <w:spacing w:line="500" w:lineRule="exact"/>
        <w:ind w:firstLine="577"/>
        <w:rPr>
          <w:rFonts w:hint="eastAsia" w:ascii="宋体" w:hAnsi="宋体" w:cs="宋体"/>
          <w:sz w:val="28"/>
          <w:szCs w:val="28"/>
        </w:rPr>
      </w:pPr>
      <w:r>
        <w:rPr>
          <w:rFonts w:hint="eastAsia" w:ascii="宋体" w:hAnsi="宋体" w:cs="宋体"/>
          <w:sz w:val="28"/>
          <w:szCs w:val="28"/>
        </w:rPr>
        <w:t xml:space="preserve">未通过符合性审查的投标文件，将被判为不满足磋商文件实质性要求。  </w:t>
      </w:r>
    </w:p>
    <w:p w14:paraId="7AB94914">
      <w:pPr>
        <w:numPr>
          <w:ilvl w:val="0"/>
          <w:numId w:val="1"/>
        </w:numPr>
        <w:spacing w:line="500" w:lineRule="exact"/>
        <w:ind w:firstLine="700"/>
        <w:jc w:val="left"/>
        <w:rPr>
          <w:rFonts w:hint="eastAsia" w:ascii="宋体" w:hAnsi="宋体" w:cs="宋体"/>
          <w:sz w:val="28"/>
          <w:szCs w:val="28"/>
          <w:lang w:val="zh-CN"/>
        </w:rPr>
      </w:pPr>
      <w:r>
        <w:rPr>
          <w:rFonts w:hint="eastAsia" w:ascii="宋体" w:hAnsi="宋体" w:cs="宋体"/>
          <w:b/>
          <w:sz w:val="28"/>
          <w:szCs w:val="28"/>
          <w:lang w:val="zh-CN"/>
        </w:rPr>
        <w:t>商务技术标</w:t>
      </w:r>
      <w:r>
        <w:rPr>
          <w:rFonts w:hint="eastAsia" w:ascii="宋体" w:hAnsi="宋体" w:cs="宋体"/>
          <w:sz w:val="28"/>
          <w:szCs w:val="28"/>
          <w:lang w:val="zh-CN"/>
        </w:rPr>
        <w:t>（</w:t>
      </w:r>
      <w:r>
        <w:rPr>
          <w:rFonts w:hint="eastAsia" w:ascii="宋体" w:hAnsi="宋体" w:cs="宋体"/>
          <w:sz w:val="28"/>
          <w:szCs w:val="28"/>
          <w:lang w:val="en-US" w:eastAsia="zh-CN"/>
        </w:rPr>
        <w:t>80</w:t>
      </w:r>
      <w:r>
        <w:rPr>
          <w:rFonts w:hint="eastAsia" w:ascii="宋体" w:hAnsi="宋体" w:cs="宋体"/>
          <w:sz w:val="28"/>
          <w:szCs w:val="28"/>
          <w:lang w:val="zh-CN"/>
        </w:rPr>
        <w:t>分）</w:t>
      </w:r>
    </w:p>
    <w:p w14:paraId="60DCA659">
      <w:pPr>
        <w:numPr>
          <w:ilvl w:val="0"/>
          <w:numId w:val="0"/>
        </w:numPr>
        <w:spacing w:line="500" w:lineRule="exact"/>
        <w:ind w:firstLine="560" w:firstLineChars="200"/>
        <w:jc w:val="left"/>
        <w:rPr>
          <w:rFonts w:hint="eastAsia" w:ascii="宋体" w:hAnsi="宋体" w:cs="宋体"/>
          <w:sz w:val="28"/>
          <w:szCs w:val="28"/>
        </w:rPr>
      </w:pPr>
      <w:r>
        <w:rPr>
          <w:rFonts w:hint="eastAsia" w:ascii="宋体" w:hAnsi="宋体" w:cs="宋体"/>
          <w:sz w:val="28"/>
          <w:szCs w:val="28"/>
        </w:rPr>
        <w:t>各投标人得分为评委会成员评分的算术平均分，分值保留小数点后两位。</w:t>
      </w:r>
    </w:p>
    <w:tbl>
      <w:tblPr>
        <w:tblStyle w:val="35"/>
        <w:tblW w:w="83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1"/>
        <w:gridCol w:w="1240"/>
        <w:gridCol w:w="5773"/>
        <w:gridCol w:w="804"/>
      </w:tblGrid>
      <w:tr w14:paraId="323310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21" w:type="dxa"/>
            <w:vAlign w:val="center"/>
          </w:tcPr>
          <w:p w14:paraId="1D072B2B">
            <w:pPr>
              <w:spacing w:line="360" w:lineRule="exact"/>
              <w:jc w:val="center"/>
              <w:rPr>
                <w:rFonts w:hint="eastAsia" w:ascii="宋体" w:hAnsi="宋体" w:cs="宋体"/>
              </w:rPr>
            </w:pPr>
            <w:r>
              <w:rPr>
                <w:rFonts w:hint="eastAsia" w:ascii="宋体" w:hAnsi="宋体" w:cs="宋体"/>
              </w:rPr>
              <w:t>序号</w:t>
            </w:r>
          </w:p>
        </w:tc>
        <w:tc>
          <w:tcPr>
            <w:tcW w:w="1240" w:type="dxa"/>
            <w:vAlign w:val="center"/>
          </w:tcPr>
          <w:p w14:paraId="6C188CF7">
            <w:pPr>
              <w:spacing w:line="360" w:lineRule="exact"/>
              <w:jc w:val="center"/>
              <w:rPr>
                <w:rFonts w:hint="eastAsia" w:ascii="宋体" w:hAnsi="宋体" w:cs="宋体"/>
              </w:rPr>
            </w:pPr>
            <w:r>
              <w:rPr>
                <w:rFonts w:hint="eastAsia" w:ascii="宋体" w:hAnsi="宋体" w:cs="宋体"/>
              </w:rPr>
              <w:t>评审项目</w:t>
            </w:r>
          </w:p>
        </w:tc>
        <w:tc>
          <w:tcPr>
            <w:tcW w:w="5773" w:type="dxa"/>
            <w:vAlign w:val="center"/>
          </w:tcPr>
          <w:p w14:paraId="3C4DCDAB">
            <w:pPr>
              <w:spacing w:line="360" w:lineRule="exact"/>
              <w:jc w:val="center"/>
              <w:rPr>
                <w:rFonts w:hint="eastAsia" w:ascii="宋体" w:hAnsi="宋体" w:cs="宋体"/>
              </w:rPr>
            </w:pPr>
            <w:r>
              <w:rPr>
                <w:rFonts w:hint="eastAsia" w:ascii="宋体" w:hAnsi="宋体" w:cs="宋体"/>
              </w:rPr>
              <w:t>评分内容和标准</w:t>
            </w:r>
          </w:p>
        </w:tc>
        <w:tc>
          <w:tcPr>
            <w:tcW w:w="804" w:type="dxa"/>
            <w:vAlign w:val="center"/>
          </w:tcPr>
          <w:p w14:paraId="24686990">
            <w:pPr>
              <w:spacing w:line="360" w:lineRule="exact"/>
              <w:jc w:val="center"/>
              <w:rPr>
                <w:rFonts w:hint="eastAsia" w:ascii="宋体" w:hAnsi="宋体" w:cs="宋体"/>
              </w:rPr>
            </w:pPr>
            <w:r>
              <w:rPr>
                <w:rFonts w:hint="eastAsia" w:ascii="宋体" w:hAnsi="宋体" w:cs="宋体"/>
              </w:rPr>
              <w:t>分值</w:t>
            </w:r>
          </w:p>
        </w:tc>
      </w:tr>
      <w:tr w14:paraId="02A74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521" w:type="dxa"/>
            <w:vMerge w:val="restart"/>
            <w:vAlign w:val="center"/>
          </w:tcPr>
          <w:p w14:paraId="282594CC">
            <w:pPr>
              <w:spacing w:line="360" w:lineRule="exact"/>
              <w:jc w:val="center"/>
              <w:rPr>
                <w:rFonts w:hint="eastAsia" w:ascii="宋体" w:hAnsi="宋体" w:cs="宋体"/>
              </w:rPr>
            </w:pPr>
            <w:r>
              <w:rPr>
                <w:rFonts w:hint="eastAsia" w:ascii="宋体" w:hAnsi="宋体" w:cs="宋体"/>
              </w:rPr>
              <w:t>1</w:t>
            </w:r>
          </w:p>
        </w:tc>
        <w:tc>
          <w:tcPr>
            <w:tcW w:w="1240" w:type="dxa"/>
            <w:vMerge w:val="restart"/>
            <w:vAlign w:val="center"/>
          </w:tcPr>
          <w:p w14:paraId="7E82B136">
            <w:pPr>
              <w:spacing w:line="360" w:lineRule="exact"/>
              <w:jc w:val="center"/>
              <w:rPr>
                <w:rFonts w:hint="eastAsia" w:ascii="宋体" w:hAnsi="宋体" w:cs="宋体"/>
              </w:rPr>
            </w:pPr>
            <w:r>
              <w:rPr>
                <w:rFonts w:hint="eastAsia" w:ascii="宋体" w:hAnsi="宋体" w:cs="宋体"/>
              </w:rPr>
              <w:t>综合实力</w:t>
            </w:r>
          </w:p>
          <w:p w14:paraId="3A497071">
            <w:pPr>
              <w:spacing w:line="360" w:lineRule="exact"/>
              <w:jc w:val="center"/>
              <w:rPr>
                <w:rFonts w:hint="eastAsia" w:ascii="宋体" w:hAnsi="宋体" w:cs="宋体"/>
              </w:rPr>
            </w:pPr>
            <w:r>
              <w:rPr>
                <w:rFonts w:hint="eastAsia" w:ascii="宋体" w:hAnsi="宋体" w:cs="宋体"/>
              </w:rPr>
              <w:t>（</w:t>
            </w:r>
            <w:r>
              <w:rPr>
                <w:rFonts w:hint="eastAsia" w:ascii="宋体" w:hAnsi="宋体" w:cs="宋体"/>
                <w:lang w:val="en-US" w:eastAsia="zh-CN"/>
              </w:rPr>
              <w:t>33</w:t>
            </w:r>
            <w:r>
              <w:rPr>
                <w:rFonts w:hint="eastAsia" w:ascii="宋体" w:hAnsi="宋体" w:cs="宋体"/>
              </w:rPr>
              <w:t>分）</w:t>
            </w:r>
          </w:p>
        </w:tc>
        <w:tc>
          <w:tcPr>
            <w:tcW w:w="5773" w:type="dxa"/>
            <w:vAlign w:val="center"/>
          </w:tcPr>
          <w:p w14:paraId="2085E2EE">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cs="宋体"/>
              </w:rPr>
            </w:pPr>
            <w:r>
              <w:rPr>
                <w:rFonts w:hint="eastAsia" w:ascii="宋体" w:hAnsi="宋体" w:cs="宋体"/>
              </w:rPr>
              <w:t>供应商具有有效期内的质量管理体系认证证书、环境管理体系认证证书、职业健康安全管理体系认证证书</w:t>
            </w:r>
            <w:r>
              <w:rPr>
                <w:rFonts w:hint="eastAsia" w:ascii="宋体" w:hAnsi="宋体" w:cs="宋体"/>
                <w:lang w:eastAsia="zh-CN"/>
              </w:rPr>
              <w:t>，</w:t>
            </w:r>
            <w:r>
              <w:rPr>
                <w:rFonts w:hint="eastAsia" w:ascii="宋体" w:hAnsi="宋体" w:cs="宋体"/>
              </w:rPr>
              <w:t>有一项得1分，本项最高3分。</w:t>
            </w:r>
          </w:p>
          <w:p w14:paraId="42B6DFEF">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cs="宋体"/>
              </w:rPr>
            </w:pPr>
            <w:r>
              <w:rPr>
                <w:rFonts w:hint="eastAsia" w:ascii="宋体" w:hAnsi="宋体" w:cs="宋体"/>
                <w:b/>
                <w:bCs/>
              </w:rPr>
              <w:t>注：上述认证证书必须在中国国家认证认可监督管理委员会官网可查，投标文件中必须提供在此网站上查验的截图及证书复印件，否则对应评分项不得分。</w:t>
            </w:r>
          </w:p>
        </w:tc>
        <w:tc>
          <w:tcPr>
            <w:tcW w:w="804" w:type="dxa"/>
            <w:vAlign w:val="center"/>
          </w:tcPr>
          <w:p w14:paraId="2FA58AA2">
            <w:pPr>
              <w:spacing w:line="360" w:lineRule="exact"/>
              <w:jc w:val="center"/>
              <w:rPr>
                <w:rFonts w:hint="eastAsia" w:ascii="宋体" w:hAnsi="宋体" w:cs="宋体"/>
              </w:rPr>
            </w:pPr>
            <w:r>
              <w:rPr>
                <w:rFonts w:hint="eastAsia" w:ascii="宋体" w:hAnsi="宋体" w:cs="宋体"/>
              </w:rPr>
              <w:t>3分</w:t>
            </w:r>
          </w:p>
        </w:tc>
      </w:tr>
      <w:tr w14:paraId="5CB58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0" w:hRule="atLeast"/>
        </w:trPr>
        <w:tc>
          <w:tcPr>
            <w:tcW w:w="521" w:type="dxa"/>
            <w:vMerge w:val="continue"/>
            <w:vAlign w:val="center"/>
          </w:tcPr>
          <w:p w14:paraId="2B57C50F">
            <w:pPr>
              <w:spacing w:line="360" w:lineRule="exact"/>
              <w:jc w:val="left"/>
              <w:rPr>
                <w:rFonts w:hint="eastAsia" w:ascii="宋体" w:hAnsi="宋体" w:cs="宋体"/>
              </w:rPr>
            </w:pPr>
          </w:p>
        </w:tc>
        <w:tc>
          <w:tcPr>
            <w:tcW w:w="1240" w:type="dxa"/>
            <w:vMerge w:val="continue"/>
            <w:vAlign w:val="center"/>
          </w:tcPr>
          <w:p w14:paraId="2FF20116">
            <w:pPr>
              <w:spacing w:line="360" w:lineRule="exact"/>
              <w:jc w:val="left"/>
              <w:rPr>
                <w:rFonts w:hint="eastAsia" w:ascii="宋体" w:hAnsi="宋体" w:cs="宋体"/>
              </w:rPr>
            </w:pPr>
          </w:p>
        </w:tc>
        <w:tc>
          <w:tcPr>
            <w:tcW w:w="5773" w:type="dxa"/>
            <w:vAlign w:val="center"/>
          </w:tcPr>
          <w:p w14:paraId="5AAE1B69">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cs="宋体"/>
              </w:rPr>
            </w:pPr>
            <w:r>
              <w:rPr>
                <w:rFonts w:hint="eastAsia" w:ascii="宋体" w:hAnsi="宋体" w:cs="宋体"/>
              </w:rPr>
              <w:t>供应商具有“AAA资信等级证书”及以上的得3分，“AA资信等级证书”得2分，“A资信等级证书”得1分。本项最高得3分。</w:t>
            </w:r>
          </w:p>
          <w:p w14:paraId="1B2E3B79">
            <w:pPr>
              <w:pStyle w:val="2"/>
              <w:keepNext w:val="0"/>
              <w:keepLines w:val="0"/>
              <w:pageBreakBefore w:val="0"/>
              <w:widowControl w:val="0"/>
              <w:kinsoku/>
              <w:wordWrap/>
              <w:overflowPunct/>
              <w:topLinePunct w:val="0"/>
              <w:autoSpaceDE/>
              <w:autoSpaceDN/>
              <w:bidi w:val="0"/>
              <w:adjustRightInd/>
              <w:snapToGrid/>
              <w:spacing w:line="320" w:lineRule="exact"/>
              <w:ind w:right="63"/>
              <w:jc w:val="left"/>
              <w:textAlignment w:val="auto"/>
              <w:rPr>
                <w:rFonts w:hint="eastAsia" w:ascii="宋体" w:hAnsi="宋体" w:cs="宋体"/>
              </w:rPr>
            </w:pPr>
            <w:r>
              <w:rPr>
                <w:rFonts w:hint="eastAsia" w:ascii="宋体" w:hAnsi="宋体" w:eastAsia="宋体" w:cs="宋体"/>
                <w:b/>
                <w:bCs/>
                <w:kern w:val="2"/>
                <w:sz w:val="21"/>
                <w:szCs w:val="21"/>
                <w:lang w:val="en-US" w:eastAsia="zh-CN" w:bidi="ar-SA"/>
              </w:rPr>
              <w:t>注：提供证明材料，需体现供应商名称。</w:t>
            </w:r>
          </w:p>
        </w:tc>
        <w:tc>
          <w:tcPr>
            <w:tcW w:w="804" w:type="dxa"/>
            <w:vAlign w:val="center"/>
          </w:tcPr>
          <w:p w14:paraId="69116920">
            <w:pPr>
              <w:spacing w:line="360" w:lineRule="exact"/>
              <w:jc w:val="center"/>
              <w:rPr>
                <w:rFonts w:hint="eastAsia" w:ascii="宋体" w:hAnsi="宋体" w:cs="宋体"/>
              </w:rPr>
            </w:pPr>
            <w:r>
              <w:rPr>
                <w:rFonts w:hint="eastAsia" w:ascii="宋体" w:hAnsi="宋体" w:cs="宋体"/>
              </w:rPr>
              <w:t>3分</w:t>
            </w:r>
          </w:p>
        </w:tc>
      </w:tr>
      <w:tr w14:paraId="196A0A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521" w:type="dxa"/>
            <w:vMerge w:val="continue"/>
            <w:vAlign w:val="center"/>
          </w:tcPr>
          <w:p w14:paraId="7753EFFD">
            <w:pPr>
              <w:spacing w:line="360" w:lineRule="exact"/>
              <w:jc w:val="left"/>
              <w:rPr>
                <w:rFonts w:hint="eastAsia" w:ascii="宋体" w:hAnsi="宋体" w:cs="宋体"/>
              </w:rPr>
            </w:pPr>
          </w:p>
        </w:tc>
        <w:tc>
          <w:tcPr>
            <w:tcW w:w="1240" w:type="dxa"/>
            <w:vMerge w:val="continue"/>
            <w:vAlign w:val="center"/>
          </w:tcPr>
          <w:p w14:paraId="34ACD6E7">
            <w:pPr>
              <w:spacing w:line="360" w:lineRule="exact"/>
              <w:jc w:val="left"/>
              <w:rPr>
                <w:rFonts w:hint="eastAsia" w:ascii="宋体" w:hAnsi="宋体" w:cs="宋体"/>
              </w:rPr>
            </w:pPr>
          </w:p>
        </w:tc>
        <w:tc>
          <w:tcPr>
            <w:tcW w:w="5773" w:type="dxa"/>
            <w:vAlign w:val="center"/>
          </w:tcPr>
          <w:p w14:paraId="70766622">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cs="宋体"/>
                <w:highlight w:val="none"/>
              </w:rPr>
            </w:pPr>
            <w:r>
              <w:rPr>
                <w:rFonts w:hint="eastAsia" w:ascii="宋体" w:hAnsi="宋体" w:cs="宋体"/>
                <w:highlight w:val="none"/>
              </w:rPr>
              <w:t>供应商具有保安服务评定等级一级得5分，二级得3分，三级得1分，未提供不得分。</w:t>
            </w:r>
          </w:p>
          <w:p w14:paraId="03434B4B">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cs="宋体"/>
                <w:b/>
                <w:bCs/>
              </w:rPr>
            </w:pPr>
            <w:r>
              <w:rPr>
                <w:rFonts w:hint="eastAsia" w:ascii="宋体" w:hAnsi="宋体" w:cs="宋体"/>
                <w:b/>
                <w:bCs/>
                <w:highlight w:val="none"/>
              </w:rPr>
              <w:t>注：提供评定等级证书。</w:t>
            </w:r>
          </w:p>
        </w:tc>
        <w:tc>
          <w:tcPr>
            <w:tcW w:w="804" w:type="dxa"/>
            <w:vAlign w:val="center"/>
          </w:tcPr>
          <w:p w14:paraId="6DA417C1">
            <w:pPr>
              <w:spacing w:line="360" w:lineRule="exact"/>
              <w:jc w:val="center"/>
              <w:rPr>
                <w:rFonts w:hint="eastAsia" w:ascii="宋体" w:hAnsi="宋体" w:cs="宋体"/>
              </w:rPr>
            </w:pPr>
            <w:r>
              <w:rPr>
                <w:rFonts w:hint="eastAsia" w:ascii="宋体" w:hAnsi="宋体" w:cs="宋体"/>
              </w:rPr>
              <w:t>5分</w:t>
            </w:r>
          </w:p>
        </w:tc>
      </w:tr>
      <w:tr w14:paraId="28DAA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0" w:hRule="atLeast"/>
        </w:trPr>
        <w:tc>
          <w:tcPr>
            <w:tcW w:w="521" w:type="dxa"/>
            <w:vMerge w:val="continue"/>
            <w:vAlign w:val="center"/>
          </w:tcPr>
          <w:p w14:paraId="2C03E92E">
            <w:pPr>
              <w:spacing w:line="360" w:lineRule="exact"/>
              <w:jc w:val="center"/>
              <w:rPr>
                <w:rFonts w:hint="eastAsia" w:ascii="宋体" w:hAnsi="宋体" w:cs="宋体"/>
              </w:rPr>
            </w:pPr>
          </w:p>
        </w:tc>
        <w:tc>
          <w:tcPr>
            <w:tcW w:w="1240" w:type="dxa"/>
            <w:vMerge w:val="continue"/>
            <w:vAlign w:val="center"/>
          </w:tcPr>
          <w:p w14:paraId="1F5A6E52">
            <w:pPr>
              <w:spacing w:line="360" w:lineRule="exact"/>
              <w:jc w:val="center"/>
              <w:rPr>
                <w:rFonts w:hint="eastAsia" w:ascii="宋体" w:hAnsi="宋体" w:cs="宋体"/>
              </w:rPr>
            </w:pPr>
          </w:p>
        </w:tc>
        <w:tc>
          <w:tcPr>
            <w:tcW w:w="5773" w:type="dxa"/>
            <w:vAlign w:val="center"/>
          </w:tcPr>
          <w:p w14:paraId="0CA06F06">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cs="宋体"/>
              </w:rPr>
            </w:pPr>
            <w:r>
              <w:rPr>
                <w:rFonts w:hint="eastAsia" w:ascii="宋体" w:hAnsi="宋体" w:cs="宋体"/>
              </w:rPr>
              <w:t>供应商</w:t>
            </w:r>
            <w:r>
              <w:rPr>
                <w:rFonts w:hint="eastAsia" w:ascii="宋体" w:hAnsi="宋体" w:cs="宋体"/>
                <w:lang w:val="en-US" w:eastAsia="zh-CN"/>
              </w:rPr>
              <w:t>近三年来</w:t>
            </w:r>
            <w:r>
              <w:rPr>
                <w:rFonts w:hint="eastAsia" w:ascii="宋体" w:hAnsi="宋体" w:cs="宋体"/>
              </w:rPr>
              <w:t>（以颁发时间为准）</w:t>
            </w:r>
            <w:r>
              <w:rPr>
                <w:rFonts w:hint="eastAsia" w:ascii="宋体" w:hAnsi="宋体" w:cs="宋体"/>
                <w:lang w:val="en-US" w:eastAsia="zh-CN"/>
              </w:rPr>
              <w:t>受到</w:t>
            </w:r>
            <w:r>
              <w:rPr>
                <w:rFonts w:hint="eastAsia" w:ascii="宋体" w:hAnsi="宋体" w:cs="宋体"/>
              </w:rPr>
              <w:t>过</w:t>
            </w:r>
            <w:r>
              <w:rPr>
                <w:rFonts w:hint="eastAsia" w:ascii="宋体" w:hAnsi="宋体" w:cs="宋体"/>
                <w:lang w:val="en-US" w:eastAsia="zh-CN"/>
              </w:rPr>
              <w:t>人民政府</w:t>
            </w:r>
            <w:r>
              <w:rPr>
                <w:rFonts w:hint="eastAsia" w:ascii="宋体" w:hAnsi="宋体" w:cs="宋体"/>
              </w:rPr>
              <w:t>或公安部门或保安协会</w:t>
            </w:r>
            <w:r>
              <w:rPr>
                <w:rFonts w:hint="eastAsia" w:ascii="宋体" w:hAnsi="宋体" w:cs="宋体"/>
                <w:lang w:val="en-US" w:eastAsia="zh-CN"/>
              </w:rPr>
              <w:t>表彰或奖励的</w:t>
            </w:r>
            <w:r>
              <w:rPr>
                <w:rFonts w:hint="eastAsia" w:ascii="宋体" w:hAnsi="宋体" w:cs="宋体"/>
              </w:rPr>
              <w:t>，省级及以上的</w:t>
            </w:r>
            <w:r>
              <w:rPr>
                <w:rFonts w:hint="eastAsia" w:ascii="宋体" w:hAnsi="宋体" w:cs="宋体"/>
                <w:lang w:val="en-US" w:eastAsia="zh-CN"/>
              </w:rPr>
              <w:t>有一个</w:t>
            </w:r>
            <w:r>
              <w:rPr>
                <w:rFonts w:hint="eastAsia" w:ascii="宋体" w:hAnsi="宋体" w:cs="宋体"/>
              </w:rPr>
              <w:t>得3分，市级的有一个得2分，县级的有一个得1分（同一奖项不重复计分，按最高奖计入）。本项最多得</w:t>
            </w:r>
            <w:r>
              <w:rPr>
                <w:rFonts w:hint="eastAsia" w:ascii="宋体" w:hAnsi="宋体" w:cs="宋体"/>
                <w:lang w:val="en-US" w:eastAsia="zh-CN"/>
              </w:rPr>
              <w:t>6</w:t>
            </w:r>
            <w:r>
              <w:rPr>
                <w:rFonts w:hint="eastAsia" w:ascii="宋体" w:hAnsi="宋体" w:cs="宋体"/>
              </w:rPr>
              <w:t>分。</w:t>
            </w:r>
          </w:p>
          <w:p w14:paraId="0AB1DCAF">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cs="宋体"/>
              </w:rPr>
            </w:pPr>
            <w:r>
              <w:rPr>
                <w:rFonts w:hint="eastAsia" w:ascii="宋体" w:hAnsi="宋体" w:cs="宋体"/>
                <w:b/>
                <w:bCs/>
              </w:rPr>
              <w:t>注：提供</w:t>
            </w:r>
            <w:r>
              <w:rPr>
                <w:rFonts w:hint="eastAsia" w:ascii="宋体" w:hAnsi="宋体" w:cs="宋体"/>
                <w:b/>
                <w:bCs/>
                <w:lang w:val="en-US" w:eastAsia="zh-CN"/>
              </w:rPr>
              <w:t>相关文件或</w:t>
            </w:r>
            <w:r>
              <w:rPr>
                <w:rFonts w:hint="eastAsia" w:ascii="宋体" w:hAnsi="宋体" w:cs="宋体"/>
                <w:b/>
                <w:bCs/>
              </w:rPr>
              <w:t>荣誉证书。</w:t>
            </w:r>
          </w:p>
        </w:tc>
        <w:tc>
          <w:tcPr>
            <w:tcW w:w="804" w:type="dxa"/>
            <w:vAlign w:val="center"/>
          </w:tcPr>
          <w:p w14:paraId="13F9B1F7">
            <w:pPr>
              <w:spacing w:line="360" w:lineRule="exact"/>
              <w:jc w:val="center"/>
              <w:rPr>
                <w:rFonts w:hint="eastAsia" w:ascii="宋体" w:hAnsi="宋体" w:cs="宋体"/>
              </w:rPr>
            </w:pPr>
            <w:r>
              <w:rPr>
                <w:rFonts w:hint="eastAsia" w:ascii="宋体" w:hAnsi="宋体" w:cs="宋体"/>
                <w:lang w:val="en-US" w:eastAsia="zh-CN"/>
              </w:rPr>
              <w:t>6</w:t>
            </w:r>
            <w:r>
              <w:rPr>
                <w:rFonts w:hint="eastAsia" w:ascii="宋体" w:hAnsi="宋体" w:cs="宋体"/>
              </w:rPr>
              <w:t>分</w:t>
            </w:r>
          </w:p>
        </w:tc>
      </w:tr>
      <w:tr w14:paraId="23D99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6" w:hRule="atLeast"/>
        </w:trPr>
        <w:tc>
          <w:tcPr>
            <w:tcW w:w="521" w:type="dxa"/>
            <w:vMerge w:val="continue"/>
            <w:vAlign w:val="center"/>
          </w:tcPr>
          <w:p w14:paraId="09799D87">
            <w:pPr>
              <w:spacing w:line="360" w:lineRule="exact"/>
              <w:jc w:val="center"/>
              <w:rPr>
                <w:rFonts w:hint="eastAsia" w:ascii="宋体" w:hAnsi="宋体" w:cs="宋体"/>
              </w:rPr>
            </w:pPr>
          </w:p>
        </w:tc>
        <w:tc>
          <w:tcPr>
            <w:tcW w:w="1240" w:type="dxa"/>
            <w:vMerge w:val="continue"/>
            <w:vAlign w:val="center"/>
          </w:tcPr>
          <w:p w14:paraId="7D58AC9C">
            <w:pPr>
              <w:spacing w:line="360" w:lineRule="exact"/>
              <w:jc w:val="center"/>
              <w:rPr>
                <w:rFonts w:hint="eastAsia" w:ascii="宋体" w:hAnsi="宋体" w:cs="宋体"/>
              </w:rPr>
            </w:pPr>
          </w:p>
        </w:tc>
        <w:tc>
          <w:tcPr>
            <w:tcW w:w="5773" w:type="dxa"/>
            <w:vAlign w:val="center"/>
          </w:tcPr>
          <w:p w14:paraId="7646D854">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cs="宋体"/>
              </w:rPr>
            </w:pPr>
            <w:r>
              <w:rPr>
                <w:rFonts w:hint="eastAsia" w:ascii="宋体" w:hAnsi="宋体" w:cs="宋体"/>
              </w:rPr>
              <w:t>供应商</w:t>
            </w:r>
            <w:r>
              <w:rPr>
                <w:rFonts w:hint="eastAsia" w:ascii="宋体" w:hAnsi="宋体" w:cs="宋体"/>
                <w:lang w:val="en-US" w:eastAsia="zh-CN"/>
              </w:rPr>
              <w:t>近三年来</w:t>
            </w:r>
            <w:r>
              <w:rPr>
                <w:rFonts w:hint="eastAsia" w:ascii="宋体" w:hAnsi="宋体" w:cs="宋体"/>
              </w:rPr>
              <w:t>是否有受到公安主管部门的处罚记录的。没有不良记录的，得3分，有1条不良记录扣1分，扣完为止。</w:t>
            </w:r>
          </w:p>
          <w:p w14:paraId="12551818">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cs="宋体"/>
              </w:rPr>
            </w:pPr>
            <w:r>
              <w:rPr>
                <w:rFonts w:hint="eastAsia" w:ascii="宋体" w:hAnsi="宋体" w:cs="宋体"/>
                <w:b/>
                <w:bCs/>
              </w:rPr>
              <w:t>注：提供公安主管部门的相关证明。</w:t>
            </w:r>
          </w:p>
        </w:tc>
        <w:tc>
          <w:tcPr>
            <w:tcW w:w="804" w:type="dxa"/>
            <w:vAlign w:val="center"/>
          </w:tcPr>
          <w:p w14:paraId="0C0FC465">
            <w:pPr>
              <w:spacing w:line="360" w:lineRule="exact"/>
              <w:jc w:val="center"/>
              <w:rPr>
                <w:rFonts w:hint="eastAsia" w:ascii="宋体" w:hAnsi="宋体" w:cs="宋体"/>
              </w:rPr>
            </w:pPr>
            <w:r>
              <w:rPr>
                <w:rFonts w:hint="eastAsia" w:ascii="宋体" w:hAnsi="宋体" w:cs="宋体"/>
              </w:rPr>
              <w:t>3分</w:t>
            </w:r>
          </w:p>
        </w:tc>
      </w:tr>
      <w:tr w14:paraId="24FFD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521" w:type="dxa"/>
            <w:vMerge w:val="continue"/>
            <w:vAlign w:val="center"/>
          </w:tcPr>
          <w:p w14:paraId="50F16459">
            <w:pPr>
              <w:spacing w:line="360" w:lineRule="exact"/>
              <w:jc w:val="center"/>
              <w:rPr>
                <w:rFonts w:hint="eastAsia" w:ascii="宋体" w:hAnsi="宋体" w:cs="宋体"/>
              </w:rPr>
            </w:pPr>
          </w:p>
        </w:tc>
        <w:tc>
          <w:tcPr>
            <w:tcW w:w="1240" w:type="dxa"/>
            <w:vMerge w:val="continue"/>
            <w:vAlign w:val="center"/>
          </w:tcPr>
          <w:p w14:paraId="1286A474">
            <w:pPr>
              <w:spacing w:line="360" w:lineRule="exact"/>
              <w:jc w:val="center"/>
              <w:rPr>
                <w:rFonts w:hint="eastAsia" w:ascii="宋体" w:hAnsi="宋体" w:cs="宋体"/>
              </w:rPr>
            </w:pPr>
          </w:p>
        </w:tc>
        <w:tc>
          <w:tcPr>
            <w:tcW w:w="5773" w:type="dxa"/>
            <w:vAlign w:val="center"/>
          </w:tcPr>
          <w:p w14:paraId="39D7AF73">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cs="宋体"/>
              </w:rPr>
            </w:pPr>
            <w:r>
              <w:rPr>
                <w:rFonts w:hint="eastAsia" w:ascii="宋体" w:hAnsi="宋体" w:cs="宋体"/>
              </w:rPr>
              <w:t>供应商</w:t>
            </w:r>
            <w:r>
              <w:rPr>
                <w:rFonts w:hint="eastAsia" w:ascii="宋体" w:hAnsi="宋体" w:cs="宋体"/>
                <w:lang w:val="en-US" w:eastAsia="zh-CN"/>
              </w:rPr>
              <w:t>保安人员近三年来</w:t>
            </w:r>
            <w:r>
              <w:rPr>
                <w:rFonts w:hint="eastAsia" w:ascii="宋体" w:hAnsi="宋体" w:cs="宋体"/>
              </w:rPr>
              <w:t>（以</w:t>
            </w:r>
            <w:r>
              <w:rPr>
                <w:rFonts w:hint="eastAsia" w:ascii="宋体" w:hAnsi="宋体" w:cs="宋体"/>
                <w:lang w:val="en-US" w:eastAsia="zh-CN"/>
              </w:rPr>
              <w:t>表彰</w:t>
            </w:r>
            <w:r>
              <w:rPr>
                <w:rFonts w:hint="eastAsia" w:ascii="宋体" w:hAnsi="宋体" w:cs="宋体"/>
              </w:rPr>
              <w:t>时间为准）</w:t>
            </w:r>
            <w:r>
              <w:rPr>
                <w:rFonts w:hint="eastAsia" w:ascii="宋体" w:hAnsi="宋体" w:cs="宋体"/>
                <w:lang w:val="en-US" w:eastAsia="zh-CN"/>
              </w:rPr>
              <w:t>受到</w:t>
            </w:r>
            <w:r>
              <w:rPr>
                <w:rFonts w:hint="eastAsia" w:ascii="宋体" w:hAnsi="宋体" w:cs="宋体"/>
              </w:rPr>
              <w:t>过</w:t>
            </w:r>
            <w:r>
              <w:rPr>
                <w:rFonts w:hint="eastAsia" w:ascii="宋体" w:hAnsi="宋体" w:cs="宋体"/>
                <w:lang w:val="en-US" w:eastAsia="zh-CN"/>
              </w:rPr>
              <w:t>人民政府</w:t>
            </w:r>
            <w:r>
              <w:rPr>
                <w:rFonts w:hint="eastAsia" w:ascii="宋体" w:hAnsi="宋体" w:cs="宋体"/>
              </w:rPr>
              <w:t>或公安部门或</w:t>
            </w:r>
            <w:r>
              <w:rPr>
                <w:rFonts w:hint="eastAsia" w:ascii="宋体" w:hAnsi="宋体" w:cs="宋体"/>
                <w:lang w:val="en-US" w:eastAsia="zh-CN"/>
              </w:rPr>
              <w:t>行业主管部门表彰</w:t>
            </w:r>
            <w:r>
              <w:rPr>
                <w:rFonts w:hint="eastAsia" w:ascii="宋体" w:hAnsi="宋体" w:cs="宋体"/>
              </w:rPr>
              <w:t>的，省级及以上的</w:t>
            </w:r>
            <w:r>
              <w:rPr>
                <w:rFonts w:hint="eastAsia" w:ascii="宋体" w:hAnsi="宋体" w:cs="宋体"/>
                <w:lang w:val="en-US" w:eastAsia="zh-CN"/>
              </w:rPr>
              <w:t>有一个</w:t>
            </w:r>
            <w:r>
              <w:rPr>
                <w:rFonts w:hint="eastAsia" w:ascii="宋体" w:hAnsi="宋体" w:cs="宋体"/>
              </w:rPr>
              <w:t>得</w:t>
            </w:r>
            <w:r>
              <w:rPr>
                <w:rFonts w:hint="eastAsia" w:ascii="宋体" w:hAnsi="宋体" w:cs="宋体"/>
                <w:lang w:val="en-US" w:eastAsia="zh-CN"/>
              </w:rPr>
              <w:t>2</w:t>
            </w:r>
            <w:r>
              <w:rPr>
                <w:rFonts w:hint="eastAsia" w:ascii="宋体" w:hAnsi="宋体" w:cs="宋体"/>
              </w:rPr>
              <w:t>分，市级的有一个得</w:t>
            </w:r>
            <w:r>
              <w:rPr>
                <w:rFonts w:hint="eastAsia" w:ascii="宋体" w:hAnsi="宋体" w:cs="宋体"/>
                <w:lang w:val="en-US" w:eastAsia="zh-CN"/>
              </w:rPr>
              <w:t>1</w:t>
            </w:r>
            <w:r>
              <w:rPr>
                <w:rFonts w:hint="eastAsia" w:ascii="宋体" w:hAnsi="宋体" w:cs="宋体"/>
              </w:rPr>
              <w:t>分，县级的有一个得</w:t>
            </w:r>
            <w:r>
              <w:rPr>
                <w:rFonts w:hint="eastAsia" w:ascii="宋体" w:hAnsi="宋体" w:cs="宋体"/>
                <w:lang w:val="en-US" w:eastAsia="zh-CN"/>
              </w:rPr>
              <w:t>0.5</w:t>
            </w:r>
            <w:r>
              <w:rPr>
                <w:rFonts w:hint="eastAsia" w:ascii="宋体" w:hAnsi="宋体" w:cs="宋体"/>
              </w:rPr>
              <w:t>分（同一奖项不重复计分，按最高奖计入）。本项最多得</w:t>
            </w:r>
            <w:r>
              <w:rPr>
                <w:rFonts w:hint="eastAsia" w:ascii="宋体" w:hAnsi="宋体" w:cs="宋体"/>
                <w:lang w:val="en-US" w:eastAsia="zh-CN"/>
              </w:rPr>
              <w:t>5</w:t>
            </w:r>
            <w:r>
              <w:rPr>
                <w:rFonts w:hint="eastAsia" w:ascii="宋体" w:hAnsi="宋体" w:cs="宋体"/>
              </w:rPr>
              <w:t>分。</w:t>
            </w:r>
          </w:p>
          <w:p w14:paraId="4BCBB93C">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eastAsia="宋体" w:cs="宋体"/>
                <w:b/>
                <w:bCs/>
                <w:lang w:eastAsia="zh-CN"/>
              </w:rPr>
            </w:pPr>
            <w:r>
              <w:rPr>
                <w:rFonts w:hint="eastAsia" w:ascii="宋体" w:hAnsi="宋体" w:cs="宋体"/>
                <w:b/>
                <w:bCs/>
              </w:rPr>
              <w:t>注：提供</w:t>
            </w:r>
            <w:r>
              <w:rPr>
                <w:rFonts w:hint="eastAsia" w:ascii="宋体" w:hAnsi="宋体" w:cs="宋体"/>
                <w:b/>
                <w:bCs/>
                <w:lang w:val="en-US" w:eastAsia="zh-CN"/>
              </w:rPr>
              <w:t>相关文件或</w:t>
            </w:r>
            <w:r>
              <w:rPr>
                <w:rFonts w:hint="eastAsia" w:ascii="宋体" w:hAnsi="宋体" w:cs="宋体"/>
                <w:b/>
                <w:bCs/>
              </w:rPr>
              <w:t>荣誉证书。</w:t>
            </w:r>
          </w:p>
        </w:tc>
        <w:tc>
          <w:tcPr>
            <w:tcW w:w="804" w:type="dxa"/>
            <w:vAlign w:val="center"/>
          </w:tcPr>
          <w:p w14:paraId="485276E6">
            <w:pPr>
              <w:spacing w:line="360" w:lineRule="exact"/>
              <w:jc w:val="center"/>
              <w:rPr>
                <w:rFonts w:hint="eastAsia" w:ascii="宋体" w:hAnsi="宋体" w:cs="宋体"/>
              </w:rPr>
            </w:pPr>
            <w:r>
              <w:rPr>
                <w:rFonts w:hint="eastAsia" w:ascii="宋体" w:hAnsi="宋体" w:cs="宋体"/>
                <w:lang w:val="en-US" w:eastAsia="zh-CN"/>
              </w:rPr>
              <w:t>5</w:t>
            </w:r>
            <w:r>
              <w:rPr>
                <w:rFonts w:hint="eastAsia" w:ascii="宋体" w:hAnsi="宋体" w:cs="宋体"/>
              </w:rPr>
              <w:t>分</w:t>
            </w:r>
          </w:p>
        </w:tc>
      </w:tr>
      <w:tr w14:paraId="4A2DC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6" w:hRule="atLeast"/>
        </w:trPr>
        <w:tc>
          <w:tcPr>
            <w:tcW w:w="521" w:type="dxa"/>
            <w:vMerge w:val="continue"/>
            <w:vAlign w:val="center"/>
          </w:tcPr>
          <w:p w14:paraId="07C4D712">
            <w:pPr>
              <w:spacing w:line="360" w:lineRule="exact"/>
              <w:jc w:val="center"/>
              <w:rPr>
                <w:rFonts w:hint="eastAsia" w:ascii="宋体" w:hAnsi="宋体" w:cs="宋体"/>
              </w:rPr>
            </w:pPr>
          </w:p>
        </w:tc>
        <w:tc>
          <w:tcPr>
            <w:tcW w:w="1240" w:type="dxa"/>
            <w:vMerge w:val="continue"/>
            <w:vAlign w:val="center"/>
          </w:tcPr>
          <w:p w14:paraId="753D7B8F">
            <w:pPr>
              <w:spacing w:line="360" w:lineRule="exact"/>
              <w:jc w:val="center"/>
              <w:rPr>
                <w:rFonts w:hint="eastAsia" w:ascii="宋体" w:hAnsi="宋体" w:cs="宋体"/>
              </w:rPr>
            </w:pPr>
          </w:p>
        </w:tc>
        <w:tc>
          <w:tcPr>
            <w:tcW w:w="5773" w:type="dxa"/>
            <w:vAlign w:val="center"/>
          </w:tcPr>
          <w:p w14:paraId="3FE11391">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cs="宋体"/>
              </w:rPr>
            </w:pPr>
            <w:r>
              <w:rPr>
                <w:rFonts w:hint="eastAsia" w:ascii="宋体" w:hAnsi="宋体" w:cs="宋体"/>
              </w:rPr>
              <w:t>供应商具有与当地公安机关主管部门建立联勤联防合作机制的，提供证明材料，有一个的得2分。本项最多得4分。</w:t>
            </w:r>
          </w:p>
          <w:p w14:paraId="4E8566C8">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cs="宋体"/>
              </w:rPr>
            </w:pPr>
            <w:r>
              <w:rPr>
                <w:rFonts w:hint="eastAsia" w:ascii="宋体" w:hAnsi="宋体" w:cs="宋体"/>
                <w:b/>
                <w:bCs/>
              </w:rPr>
              <w:t>注：提供相关证明材料。</w:t>
            </w:r>
          </w:p>
        </w:tc>
        <w:tc>
          <w:tcPr>
            <w:tcW w:w="804" w:type="dxa"/>
            <w:vAlign w:val="center"/>
          </w:tcPr>
          <w:p w14:paraId="4237D102">
            <w:pPr>
              <w:spacing w:line="360" w:lineRule="exact"/>
              <w:jc w:val="center"/>
              <w:rPr>
                <w:rFonts w:hint="eastAsia" w:ascii="宋体" w:hAnsi="宋体" w:cs="宋体"/>
              </w:rPr>
            </w:pPr>
            <w:r>
              <w:rPr>
                <w:rFonts w:hint="eastAsia" w:ascii="宋体" w:hAnsi="宋体" w:cs="宋体"/>
              </w:rPr>
              <w:t>4分</w:t>
            </w:r>
          </w:p>
        </w:tc>
      </w:tr>
      <w:tr w14:paraId="62E1E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6" w:hRule="atLeast"/>
        </w:trPr>
        <w:tc>
          <w:tcPr>
            <w:tcW w:w="521" w:type="dxa"/>
            <w:vMerge w:val="continue"/>
            <w:vAlign w:val="center"/>
          </w:tcPr>
          <w:p w14:paraId="7694CDBF">
            <w:pPr>
              <w:spacing w:line="360" w:lineRule="exact"/>
              <w:jc w:val="center"/>
              <w:rPr>
                <w:rFonts w:hint="eastAsia" w:ascii="宋体" w:hAnsi="宋体" w:cs="宋体"/>
              </w:rPr>
            </w:pPr>
          </w:p>
        </w:tc>
        <w:tc>
          <w:tcPr>
            <w:tcW w:w="1240" w:type="dxa"/>
            <w:vMerge w:val="continue"/>
            <w:vAlign w:val="center"/>
          </w:tcPr>
          <w:p w14:paraId="1330CDF3">
            <w:pPr>
              <w:spacing w:line="360" w:lineRule="exact"/>
              <w:jc w:val="center"/>
              <w:rPr>
                <w:rFonts w:hint="eastAsia" w:ascii="宋体" w:hAnsi="宋体" w:cs="宋体"/>
              </w:rPr>
            </w:pPr>
          </w:p>
        </w:tc>
        <w:tc>
          <w:tcPr>
            <w:tcW w:w="5773" w:type="dxa"/>
            <w:vAlign w:val="center"/>
          </w:tcPr>
          <w:p w14:paraId="3CB182BB">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cs="宋体"/>
                <w:lang w:val="en-US" w:eastAsia="zh-CN"/>
              </w:rPr>
            </w:pPr>
            <w:r>
              <w:rPr>
                <w:rFonts w:hint="eastAsia" w:ascii="宋体" w:hAnsi="宋体" w:cs="宋体"/>
                <w:lang w:val="en-US" w:eastAsia="zh-CN"/>
              </w:rPr>
              <w:t>供应商需免费安装110联动一键式报警器，同时在服务周期内免费提供维保服务，中标后写入合同条款，提供承诺书（格式自拟）的得4分。</w:t>
            </w:r>
          </w:p>
          <w:p w14:paraId="4374441F">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default"/>
                <w:b w:val="0"/>
                <w:bCs w:val="0"/>
                <w:color w:val="000000" w:themeColor="text1"/>
                <w:spacing w:val="10"/>
                <w:sz w:val="20"/>
                <w:szCs w:val="20"/>
                <w:highlight w:val="none"/>
                <w:lang w:val="en-US" w:eastAsia="zh-CN"/>
                <w14:textFill>
                  <w14:solidFill>
                    <w14:schemeClr w14:val="tx1"/>
                  </w14:solidFill>
                </w14:textFill>
              </w:rPr>
            </w:pPr>
            <w:r>
              <w:rPr>
                <w:rFonts w:hint="eastAsia"/>
                <w:b/>
                <w:bCs/>
                <w:color w:val="000000" w:themeColor="text1"/>
                <w:spacing w:val="10"/>
                <w:sz w:val="20"/>
                <w:szCs w:val="20"/>
                <w:highlight w:val="none"/>
                <w:lang w:val="en-US" w:eastAsia="zh-CN"/>
                <w14:textFill>
                  <w14:solidFill>
                    <w14:schemeClr w14:val="tx1"/>
                  </w14:solidFill>
                </w14:textFill>
              </w:rPr>
              <w:t>注：提供相关证明材料。</w:t>
            </w:r>
          </w:p>
        </w:tc>
        <w:tc>
          <w:tcPr>
            <w:tcW w:w="804" w:type="dxa"/>
            <w:vAlign w:val="center"/>
          </w:tcPr>
          <w:p w14:paraId="1AC7CA9F">
            <w:pPr>
              <w:spacing w:line="360" w:lineRule="exact"/>
              <w:jc w:val="center"/>
              <w:rPr>
                <w:rFonts w:hint="default" w:ascii="宋体" w:hAnsi="宋体" w:eastAsia="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4分</w:t>
            </w:r>
          </w:p>
        </w:tc>
      </w:tr>
      <w:tr w14:paraId="4414E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521" w:type="dxa"/>
            <w:vAlign w:val="center"/>
          </w:tcPr>
          <w:p w14:paraId="20B288B7">
            <w:pPr>
              <w:spacing w:line="360" w:lineRule="exact"/>
              <w:jc w:val="center"/>
              <w:rPr>
                <w:rFonts w:hint="eastAsia" w:ascii="宋体" w:hAnsi="宋体" w:cs="宋体"/>
              </w:rPr>
            </w:pPr>
            <w:r>
              <w:rPr>
                <w:rFonts w:hint="eastAsia" w:ascii="宋体" w:hAnsi="宋体" w:cs="宋体"/>
              </w:rPr>
              <w:t>2</w:t>
            </w:r>
          </w:p>
        </w:tc>
        <w:tc>
          <w:tcPr>
            <w:tcW w:w="1240" w:type="dxa"/>
            <w:vAlign w:val="center"/>
          </w:tcPr>
          <w:p w14:paraId="1227B4E2">
            <w:pPr>
              <w:spacing w:line="360" w:lineRule="exact"/>
              <w:jc w:val="center"/>
              <w:rPr>
                <w:rFonts w:hint="eastAsia" w:ascii="宋体" w:hAnsi="宋体" w:cs="宋体"/>
              </w:rPr>
            </w:pPr>
            <w:r>
              <w:rPr>
                <w:rFonts w:hint="eastAsia" w:ascii="宋体" w:hAnsi="宋体" w:cs="宋体"/>
              </w:rPr>
              <w:t>企业业绩（1</w:t>
            </w:r>
            <w:r>
              <w:rPr>
                <w:rFonts w:hint="eastAsia" w:ascii="宋体" w:hAnsi="宋体" w:cs="宋体"/>
                <w:lang w:val="en-US" w:eastAsia="zh-CN"/>
              </w:rPr>
              <w:t>2</w:t>
            </w:r>
            <w:r>
              <w:rPr>
                <w:rFonts w:hint="eastAsia" w:ascii="宋体" w:hAnsi="宋体" w:cs="宋体"/>
              </w:rPr>
              <w:t>分）</w:t>
            </w:r>
          </w:p>
        </w:tc>
        <w:tc>
          <w:tcPr>
            <w:tcW w:w="5773" w:type="dxa"/>
            <w:vAlign w:val="center"/>
          </w:tcPr>
          <w:p w14:paraId="44A1E5FE">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cs="宋体"/>
              </w:rPr>
            </w:pPr>
            <w:r>
              <w:rPr>
                <w:rFonts w:hint="eastAsia" w:ascii="宋体" w:hAnsi="宋体" w:cs="宋体"/>
              </w:rPr>
              <w:t>供应商</w:t>
            </w:r>
            <w:r>
              <w:rPr>
                <w:rFonts w:hint="eastAsia" w:ascii="宋体" w:hAnsi="宋体" w:cs="宋体"/>
                <w:lang w:val="en-US" w:eastAsia="zh-CN"/>
              </w:rPr>
              <w:t>近三年来</w:t>
            </w:r>
            <w:r>
              <w:rPr>
                <w:rFonts w:hint="eastAsia" w:ascii="宋体" w:hAnsi="宋体" w:cs="宋体"/>
              </w:rPr>
              <w:t>至投标截止时间(以合同签订时间为准)有承担</w:t>
            </w:r>
            <w:r>
              <w:rPr>
                <w:rFonts w:hint="eastAsia" w:ascii="宋体" w:hAnsi="宋体" w:cs="宋体"/>
                <w:highlight w:val="none"/>
              </w:rPr>
              <w:t>过安保服务项目</w:t>
            </w:r>
            <w:r>
              <w:rPr>
                <w:rFonts w:hint="eastAsia" w:ascii="宋体" w:hAnsi="宋体" w:cs="宋体"/>
                <w:highlight w:val="none"/>
                <w:lang w:eastAsia="zh-CN"/>
              </w:rPr>
              <w:t>（</w:t>
            </w:r>
            <w:r>
              <w:rPr>
                <w:rFonts w:hint="eastAsia" w:ascii="宋体" w:hAnsi="宋体" w:cs="宋体"/>
                <w:highlight w:val="none"/>
                <w:lang w:val="en-US" w:eastAsia="zh-CN"/>
              </w:rPr>
              <w:t>非住宅类</w:t>
            </w:r>
            <w:r>
              <w:rPr>
                <w:rFonts w:hint="eastAsia" w:ascii="宋体" w:hAnsi="宋体" w:cs="宋体"/>
                <w:highlight w:val="none"/>
                <w:lang w:eastAsia="zh-CN"/>
              </w:rPr>
              <w:t>）</w:t>
            </w:r>
            <w:r>
              <w:rPr>
                <w:rFonts w:hint="eastAsia" w:ascii="宋体" w:hAnsi="宋体" w:cs="宋体"/>
                <w:highlight w:val="none"/>
              </w:rPr>
              <w:t>案例的，</w:t>
            </w:r>
            <w:r>
              <w:rPr>
                <w:rFonts w:hint="eastAsia" w:ascii="宋体" w:hAnsi="宋体" w:cs="宋体"/>
              </w:rPr>
              <w:t>有1个得</w:t>
            </w:r>
            <w:r>
              <w:rPr>
                <w:rFonts w:hint="eastAsia" w:ascii="宋体" w:hAnsi="宋体" w:cs="宋体"/>
                <w:lang w:val="en-US" w:eastAsia="zh-CN"/>
              </w:rPr>
              <w:t>3</w:t>
            </w:r>
            <w:r>
              <w:rPr>
                <w:rFonts w:hint="eastAsia" w:ascii="宋体" w:hAnsi="宋体" w:cs="宋体"/>
              </w:rPr>
              <w:t>分，本项最高</w:t>
            </w:r>
            <w:r>
              <w:rPr>
                <w:rFonts w:hint="eastAsia" w:ascii="宋体" w:hAnsi="宋体" w:cs="宋体"/>
                <w:lang w:val="en-US" w:eastAsia="zh-CN"/>
              </w:rPr>
              <w:t>12</w:t>
            </w:r>
            <w:r>
              <w:rPr>
                <w:rFonts w:hint="eastAsia" w:ascii="宋体" w:hAnsi="宋体" w:cs="宋体"/>
              </w:rPr>
              <w:t>分。</w:t>
            </w:r>
          </w:p>
          <w:p w14:paraId="72922281">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cs="宋体"/>
              </w:rPr>
            </w:pPr>
            <w:r>
              <w:rPr>
                <w:rFonts w:hint="eastAsia" w:ascii="宋体" w:hAnsi="宋体" w:cs="宋体"/>
                <w:b/>
                <w:bCs/>
              </w:rPr>
              <w:t>注:提供服务合同。</w:t>
            </w:r>
          </w:p>
        </w:tc>
        <w:tc>
          <w:tcPr>
            <w:tcW w:w="804" w:type="dxa"/>
            <w:vAlign w:val="center"/>
          </w:tcPr>
          <w:p w14:paraId="1243971A">
            <w:pPr>
              <w:tabs>
                <w:tab w:val="left" w:pos="720"/>
              </w:tabs>
              <w:spacing w:line="360" w:lineRule="exact"/>
              <w:jc w:val="center"/>
              <w:rPr>
                <w:rFonts w:hint="eastAsia" w:ascii="宋体" w:hAnsi="宋体" w:cs="宋体"/>
              </w:rPr>
            </w:pPr>
            <w:r>
              <w:rPr>
                <w:rFonts w:hint="eastAsia" w:ascii="宋体" w:hAnsi="宋体" w:cs="宋体"/>
              </w:rPr>
              <w:t>1</w:t>
            </w:r>
            <w:r>
              <w:rPr>
                <w:rFonts w:hint="eastAsia" w:ascii="宋体" w:hAnsi="宋体" w:cs="宋体"/>
                <w:lang w:val="en-US" w:eastAsia="zh-CN"/>
              </w:rPr>
              <w:t>2</w:t>
            </w:r>
            <w:r>
              <w:rPr>
                <w:rFonts w:hint="eastAsia" w:ascii="宋体" w:hAnsi="宋体" w:cs="宋体"/>
              </w:rPr>
              <w:t>分</w:t>
            </w:r>
          </w:p>
        </w:tc>
      </w:tr>
      <w:tr w14:paraId="2A3BF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9" w:hRule="atLeast"/>
        </w:trPr>
        <w:tc>
          <w:tcPr>
            <w:tcW w:w="521" w:type="dxa"/>
            <w:vAlign w:val="center"/>
          </w:tcPr>
          <w:p w14:paraId="2C720C36">
            <w:pPr>
              <w:spacing w:line="360" w:lineRule="exact"/>
              <w:jc w:val="center"/>
              <w:rPr>
                <w:rFonts w:hint="eastAsia" w:ascii="宋体" w:hAnsi="宋体" w:cs="宋体"/>
              </w:rPr>
            </w:pPr>
            <w:r>
              <w:rPr>
                <w:rFonts w:hint="eastAsia" w:ascii="宋体" w:hAnsi="宋体" w:cs="宋体"/>
              </w:rPr>
              <w:t>3</w:t>
            </w:r>
          </w:p>
        </w:tc>
        <w:tc>
          <w:tcPr>
            <w:tcW w:w="1240" w:type="dxa"/>
            <w:vAlign w:val="center"/>
          </w:tcPr>
          <w:p w14:paraId="553451BE">
            <w:pPr>
              <w:pStyle w:val="205"/>
              <w:tabs>
                <w:tab w:val="left" w:pos="2310"/>
              </w:tabs>
              <w:jc w:val="center"/>
              <w:rPr>
                <w:rFonts w:hint="eastAsia" w:ascii="宋体" w:hAnsi="宋体" w:cs="宋体"/>
                <w:kern w:val="2"/>
              </w:rPr>
            </w:pPr>
            <w:r>
              <w:rPr>
                <w:rFonts w:hint="eastAsia" w:ascii="宋体" w:hAnsi="宋体" w:cs="宋体"/>
                <w:sz w:val="21"/>
                <w:szCs w:val="24"/>
                <w:lang w:val="en-US" w:eastAsia="zh-CN" w:bidi="ar-SA"/>
              </w:rPr>
              <w:t>人员配备</w:t>
            </w:r>
            <w:r>
              <w:rPr>
                <w:rFonts w:hint="eastAsia" w:ascii="宋体" w:hAnsi="宋体" w:eastAsia="宋体" w:cs="宋体"/>
                <w:sz w:val="21"/>
                <w:szCs w:val="24"/>
                <w:lang w:val="en-US" w:eastAsia="zh-CN" w:bidi="ar-SA"/>
              </w:rPr>
              <w:t>（</w:t>
            </w:r>
            <w:r>
              <w:rPr>
                <w:rFonts w:hint="eastAsia" w:ascii="宋体" w:hAnsi="宋体" w:cs="宋体"/>
                <w:sz w:val="21"/>
                <w:szCs w:val="24"/>
                <w:lang w:val="en-US" w:eastAsia="zh-CN" w:bidi="ar-SA"/>
              </w:rPr>
              <w:t>5</w:t>
            </w:r>
            <w:r>
              <w:rPr>
                <w:rFonts w:hint="eastAsia" w:ascii="宋体" w:hAnsi="宋体" w:eastAsia="宋体" w:cs="宋体"/>
                <w:sz w:val="21"/>
                <w:szCs w:val="24"/>
                <w:lang w:val="en-US" w:eastAsia="zh-CN" w:bidi="ar-SA"/>
              </w:rPr>
              <w:t>分）</w:t>
            </w:r>
          </w:p>
        </w:tc>
        <w:tc>
          <w:tcPr>
            <w:tcW w:w="5773" w:type="dxa"/>
            <w:vAlign w:val="center"/>
          </w:tcPr>
          <w:p w14:paraId="15B59737">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default" w:ascii="宋体" w:hAnsi="宋体" w:eastAsia="宋体" w:cs="宋体"/>
                <w:lang w:val="en-US" w:eastAsia="zh-CN"/>
              </w:rPr>
            </w:pPr>
            <w:r>
              <w:rPr>
                <w:rFonts w:hint="eastAsia" w:ascii="宋体" w:hAnsi="宋体" w:cs="宋体"/>
              </w:rPr>
              <w:t>①拟派</w:t>
            </w:r>
            <w:r>
              <w:rPr>
                <w:rFonts w:hint="eastAsia" w:ascii="宋体" w:hAnsi="宋体" w:cs="宋体"/>
                <w:lang w:val="en-US" w:eastAsia="zh-CN"/>
              </w:rPr>
              <w:t>保安人员配备情况，按要求配置的得1分，不提供不得分；保安人员配备在合同签订后7天内到位的承诺书，格式自拟。按要求提供得1分，不提供不得分。</w:t>
            </w:r>
          </w:p>
          <w:p w14:paraId="385E2981">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default" w:ascii="宋体" w:hAnsi="宋体" w:eastAsia="宋体" w:cs="宋体"/>
                <w:lang w:val="en-US" w:eastAsia="zh-CN"/>
              </w:rPr>
            </w:pPr>
            <w:r>
              <w:rPr>
                <w:rFonts w:hint="eastAsia" w:ascii="宋体" w:hAnsi="宋体" w:cs="宋体"/>
              </w:rPr>
              <w:t>②</w:t>
            </w:r>
            <w:r>
              <w:rPr>
                <w:rFonts w:hint="eastAsia" w:ascii="宋体" w:hAnsi="宋体" w:cs="宋体"/>
                <w:highlight w:val="none"/>
              </w:rPr>
              <w:t>拟派</w:t>
            </w:r>
            <w:r>
              <w:rPr>
                <w:rFonts w:hint="eastAsia" w:ascii="宋体" w:hAnsi="宋体" w:cs="宋体"/>
                <w:highlight w:val="none"/>
                <w:lang w:val="en-US" w:eastAsia="zh-CN"/>
              </w:rPr>
              <w:t>保安人员需持证上岗，提供相关证书及</w:t>
            </w:r>
            <w:r>
              <w:rPr>
                <w:rFonts w:hint="eastAsia" w:ascii="宋体" w:hAnsi="宋体" w:eastAsia="宋体" w:cs="宋体"/>
                <w:szCs w:val="21"/>
                <w:highlight w:val="none"/>
              </w:rPr>
              <w:t>投标企业所在地社保机构出具的由投标企业为拟派</w:t>
            </w:r>
            <w:r>
              <w:rPr>
                <w:rFonts w:hint="eastAsia" w:ascii="宋体" w:hAnsi="宋体" w:eastAsia="宋体" w:cs="宋体"/>
                <w:szCs w:val="21"/>
                <w:highlight w:val="none"/>
                <w:lang w:val="en-US" w:eastAsia="zh-CN"/>
              </w:rPr>
              <w:t>保安人员</w:t>
            </w:r>
            <w:r>
              <w:rPr>
                <w:rFonts w:hint="eastAsia" w:ascii="宋体" w:hAnsi="宋体" w:eastAsia="宋体" w:cs="宋体"/>
                <w:szCs w:val="21"/>
                <w:highlight w:val="none"/>
              </w:rPr>
              <w:t>缴纳的本招标公告发布之日前三个月内任意一个月的养老保险缴费证明</w:t>
            </w:r>
            <w:r>
              <w:rPr>
                <w:rFonts w:hint="eastAsia" w:ascii="宋体" w:hAnsi="宋体" w:cs="宋体"/>
                <w:highlight w:val="none"/>
                <w:lang w:val="en-US" w:eastAsia="zh-CN"/>
              </w:rPr>
              <w:t>，提供的得3分，不提供不得分。</w:t>
            </w:r>
          </w:p>
          <w:p w14:paraId="549E2142">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cs="宋体"/>
                <w:szCs w:val="21"/>
              </w:rPr>
            </w:pPr>
            <w:r>
              <w:rPr>
                <w:rFonts w:hint="eastAsia" w:ascii="宋体" w:hAnsi="宋体" w:cs="宋体"/>
                <w:b/>
                <w:bCs/>
              </w:rPr>
              <w:t>注：</w:t>
            </w:r>
            <w:r>
              <w:rPr>
                <w:rFonts w:hint="eastAsia" w:ascii="宋体" w:hAnsi="宋体" w:cs="宋体"/>
                <w:b/>
                <w:bCs/>
                <w:lang w:val="en-US" w:eastAsia="zh-CN"/>
              </w:rPr>
              <w:t>提供相关证明材料并加盖供应商公章</w:t>
            </w:r>
            <w:r>
              <w:rPr>
                <w:rFonts w:hint="eastAsia" w:ascii="宋体" w:hAnsi="宋体" w:cs="宋体"/>
                <w:b/>
                <w:bCs/>
              </w:rPr>
              <w:t>。</w:t>
            </w:r>
          </w:p>
        </w:tc>
        <w:tc>
          <w:tcPr>
            <w:tcW w:w="804" w:type="dxa"/>
            <w:vAlign w:val="center"/>
          </w:tcPr>
          <w:p w14:paraId="75BC28CD">
            <w:pPr>
              <w:spacing w:line="360" w:lineRule="exact"/>
              <w:jc w:val="center"/>
              <w:rPr>
                <w:rFonts w:hint="eastAsia" w:ascii="宋体" w:hAnsi="宋体" w:cs="宋体"/>
                <w:kern w:val="2"/>
              </w:rPr>
            </w:pPr>
            <w:r>
              <w:rPr>
                <w:rFonts w:hint="eastAsia" w:ascii="宋体" w:hAnsi="宋体" w:cs="宋体"/>
                <w:lang w:val="en-US" w:eastAsia="zh-CN"/>
              </w:rPr>
              <w:t>5</w:t>
            </w:r>
            <w:r>
              <w:rPr>
                <w:rFonts w:hint="eastAsia" w:ascii="宋体" w:hAnsi="宋体" w:cs="宋体"/>
              </w:rPr>
              <w:t>分</w:t>
            </w:r>
          </w:p>
        </w:tc>
      </w:tr>
      <w:tr w14:paraId="60E68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3" w:hRule="atLeast"/>
        </w:trPr>
        <w:tc>
          <w:tcPr>
            <w:tcW w:w="521" w:type="dxa"/>
            <w:vMerge w:val="restart"/>
            <w:vAlign w:val="center"/>
          </w:tcPr>
          <w:p w14:paraId="1ACECC6A">
            <w:pPr>
              <w:spacing w:line="360" w:lineRule="exact"/>
              <w:jc w:val="center"/>
              <w:rPr>
                <w:rFonts w:hint="eastAsia" w:ascii="宋体" w:hAnsi="宋体" w:eastAsia="宋体" w:cs="宋体"/>
                <w:lang w:val="en-US" w:eastAsia="zh-CN"/>
              </w:rPr>
            </w:pPr>
            <w:r>
              <w:rPr>
                <w:rFonts w:hint="eastAsia" w:ascii="宋体" w:hAnsi="宋体" w:cs="宋体"/>
                <w:lang w:val="en-US" w:eastAsia="zh-CN"/>
              </w:rPr>
              <w:t>4</w:t>
            </w:r>
          </w:p>
        </w:tc>
        <w:tc>
          <w:tcPr>
            <w:tcW w:w="1240" w:type="dxa"/>
            <w:vMerge w:val="restart"/>
            <w:vAlign w:val="center"/>
          </w:tcPr>
          <w:p w14:paraId="27D98DE1">
            <w:pPr>
              <w:pStyle w:val="205"/>
              <w:tabs>
                <w:tab w:val="left" w:pos="2310"/>
              </w:tabs>
              <w:jc w:val="center"/>
              <w:rPr>
                <w:rFonts w:hint="eastAsia" w:ascii="宋体" w:hAnsi="宋体" w:cs="宋体"/>
                <w:sz w:val="21"/>
                <w:szCs w:val="24"/>
                <w:lang w:val="en-US" w:eastAsia="zh-CN" w:bidi="ar-SA"/>
              </w:rPr>
            </w:pPr>
            <w:r>
              <w:rPr>
                <w:rFonts w:hint="eastAsia" w:ascii="宋体" w:hAnsi="宋体" w:cs="宋体"/>
                <w:sz w:val="21"/>
                <w:szCs w:val="24"/>
                <w:lang w:val="en-US" w:eastAsia="zh-CN" w:bidi="ar-SA"/>
              </w:rPr>
              <w:t>项目实施方案</w:t>
            </w:r>
          </w:p>
          <w:p w14:paraId="3AF225DF">
            <w:pPr>
              <w:pStyle w:val="205"/>
              <w:tabs>
                <w:tab w:val="left" w:pos="2310"/>
              </w:tabs>
              <w:jc w:val="center"/>
              <w:rPr>
                <w:rFonts w:hint="eastAsia" w:ascii="宋体" w:hAnsi="宋体" w:eastAsia="宋体" w:cs="宋体"/>
                <w:sz w:val="21"/>
                <w:szCs w:val="24"/>
                <w:lang w:val="en-US" w:eastAsia="zh-CN" w:bidi="ar-SA"/>
              </w:rPr>
            </w:pPr>
            <w:r>
              <w:rPr>
                <w:rFonts w:hint="eastAsia" w:ascii="宋体" w:hAnsi="宋体" w:eastAsia="宋体" w:cs="宋体"/>
                <w:sz w:val="21"/>
                <w:szCs w:val="24"/>
                <w:lang w:val="en-US" w:eastAsia="zh-CN" w:bidi="ar-SA"/>
              </w:rPr>
              <w:t>(</w:t>
            </w:r>
            <w:r>
              <w:rPr>
                <w:rFonts w:hint="eastAsia" w:ascii="宋体" w:hAnsi="宋体" w:cs="宋体"/>
                <w:sz w:val="21"/>
                <w:szCs w:val="24"/>
                <w:lang w:val="en-US" w:eastAsia="zh-CN" w:bidi="ar-SA"/>
              </w:rPr>
              <w:t>30</w:t>
            </w:r>
            <w:r>
              <w:rPr>
                <w:rFonts w:hint="eastAsia" w:ascii="宋体" w:hAnsi="宋体" w:eastAsia="宋体" w:cs="宋体"/>
                <w:sz w:val="21"/>
                <w:szCs w:val="24"/>
                <w:lang w:val="en-US" w:eastAsia="zh-CN" w:bidi="ar-SA"/>
              </w:rPr>
              <w:t>分)</w:t>
            </w:r>
          </w:p>
        </w:tc>
        <w:tc>
          <w:tcPr>
            <w:tcW w:w="5773" w:type="dxa"/>
            <w:shd w:val="clear" w:color="auto" w:fill="auto"/>
            <w:vAlign w:val="top"/>
          </w:tcPr>
          <w:p w14:paraId="019AAED7">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eastAsia="宋体" w:cs="宋体"/>
                <w:lang w:val="zh-CN" w:eastAsia="zh-CN"/>
              </w:rPr>
            </w:pPr>
            <w:r>
              <w:rPr>
                <w:rFonts w:hint="eastAsia" w:ascii="宋体" w:hAnsi="宋体" w:eastAsia="宋体" w:cs="宋体"/>
                <w:lang w:val="zh-CN" w:eastAsia="zh-CN"/>
              </w:rPr>
              <w:t>服务方案：</w:t>
            </w:r>
          </w:p>
          <w:p w14:paraId="744ED539">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eastAsia="宋体" w:cs="宋体"/>
                <w:lang w:val="en-US" w:eastAsia="en-US"/>
              </w:rPr>
            </w:pPr>
            <w:r>
              <w:rPr>
                <w:rFonts w:hint="eastAsia" w:ascii="宋体" w:hAnsi="宋体" w:eastAsia="宋体" w:cs="宋体"/>
                <w:lang w:val="zh-CN" w:eastAsia="zh-CN"/>
              </w:rPr>
              <w:t>根据各投标方案对项目整体分析，管理模式、特点，管理理念、计划，总体模式及配套措施完整、细致等内容进行打分。方案完全满足磋商文件对项目服务的要求，结构严谨，内容完整详实，能够针对采购项目内容要求而细化制定，项目管理运行机制健全，得</w:t>
            </w:r>
            <w:r>
              <w:rPr>
                <w:rFonts w:hint="eastAsia" w:ascii="宋体" w:hAnsi="宋体" w:cs="宋体"/>
                <w:lang w:val="en-US" w:eastAsia="zh-CN"/>
              </w:rPr>
              <w:t>8</w:t>
            </w:r>
            <w:r>
              <w:rPr>
                <w:rFonts w:hint="eastAsia" w:ascii="宋体" w:hAnsi="宋体" w:eastAsia="宋体" w:cs="宋体"/>
                <w:lang w:val="zh-CN" w:eastAsia="zh-CN"/>
              </w:rPr>
              <w:t>(含)分；能够满足磋商文件对项目服务的要求，项目服务方案完整，为本项目的服务要 求而制定的措施较齐全，方案表述有一定偏差，但不影响实 质性意思表达，得</w:t>
            </w:r>
            <w:r>
              <w:rPr>
                <w:rFonts w:hint="eastAsia" w:ascii="宋体" w:hAnsi="宋体" w:eastAsia="宋体" w:cs="宋体"/>
                <w:lang w:val="en-US" w:eastAsia="zh-CN"/>
              </w:rPr>
              <w:t>5</w:t>
            </w:r>
            <w:r>
              <w:rPr>
                <w:rFonts w:hint="eastAsia" w:ascii="宋体" w:hAnsi="宋体" w:eastAsia="宋体" w:cs="宋体"/>
                <w:lang w:val="zh-CN" w:eastAsia="zh-CN"/>
              </w:rPr>
              <w:t>(含)分；有项目服务方案，但方案内容笼统，没有针对本项目细化制定，承诺通过后期优化能够实现采购文件要求，得</w:t>
            </w:r>
            <w:r>
              <w:rPr>
                <w:rFonts w:hint="eastAsia" w:ascii="宋体" w:hAnsi="宋体" w:eastAsia="宋体" w:cs="宋体"/>
                <w:lang w:val="en-US" w:eastAsia="zh-CN"/>
              </w:rPr>
              <w:t>3</w:t>
            </w:r>
            <w:r>
              <w:rPr>
                <w:rFonts w:hint="eastAsia" w:ascii="宋体" w:hAnsi="宋体" w:eastAsia="宋体" w:cs="宋体"/>
                <w:lang w:val="zh-CN" w:eastAsia="zh-CN"/>
              </w:rPr>
              <w:t>(含)分；其他情况或没有内容不得分。</w:t>
            </w:r>
          </w:p>
        </w:tc>
        <w:tc>
          <w:tcPr>
            <w:tcW w:w="804" w:type="dxa"/>
            <w:shd w:val="clear" w:color="auto" w:fill="auto"/>
            <w:vAlign w:val="top"/>
          </w:tcPr>
          <w:p w14:paraId="253D1F6B">
            <w:pPr>
              <w:spacing w:line="253" w:lineRule="auto"/>
              <w:rPr>
                <w:rFonts w:ascii="Arial"/>
                <w:sz w:val="21"/>
              </w:rPr>
            </w:pPr>
          </w:p>
          <w:p w14:paraId="154F8F22">
            <w:pPr>
              <w:spacing w:line="253" w:lineRule="auto"/>
              <w:rPr>
                <w:rFonts w:ascii="Arial"/>
                <w:sz w:val="21"/>
              </w:rPr>
            </w:pPr>
          </w:p>
          <w:p w14:paraId="1AB37364">
            <w:pPr>
              <w:spacing w:line="253" w:lineRule="auto"/>
              <w:rPr>
                <w:rFonts w:ascii="Arial"/>
                <w:sz w:val="21"/>
              </w:rPr>
            </w:pPr>
          </w:p>
          <w:p w14:paraId="05637E81">
            <w:pPr>
              <w:spacing w:line="253" w:lineRule="auto"/>
              <w:rPr>
                <w:rFonts w:ascii="Arial"/>
                <w:sz w:val="21"/>
              </w:rPr>
            </w:pPr>
          </w:p>
          <w:p w14:paraId="7DEF989E">
            <w:pPr>
              <w:spacing w:line="254" w:lineRule="auto"/>
              <w:rPr>
                <w:rFonts w:ascii="Arial"/>
                <w:sz w:val="21"/>
              </w:rPr>
            </w:pPr>
          </w:p>
          <w:p w14:paraId="61FBB7F3">
            <w:pPr>
              <w:spacing w:line="360" w:lineRule="exact"/>
              <w:jc w:val="center"/>
              <w:rPr>
                <w:rFonts w:hint="eastAsia" w:ascii="宋体" w:hAnsi="宋体" w:eastAsia="宋体" w:cs="宋体"/>
                <w:sz w:val="24"/>
                <w:szCs w:val="24"/>
                <w:lang w:val="en-US" w:eastAsia="en-US" w:bidi="ar-SA"/>
              </w:rPr>
            </w:pPr>
            <w:r>
              <w:rPr>
                <w:rFonts w:hint="eastAsia" w:ascii="宋体" w:hAnsi="宋体" w:cs="宋体"/>
                <w:lang w:val="en-US" w:eastAsia="zh-CN"/>
              </w:rPr>
              <w:t>8</w:t>
            </w:r>
            <w:r>
              <w:rPr>
                <w:rFonts w:hint="eastAsia" w:ascii="宋体" w:hAnsi="宋体" w:cs="宋体"/>
              </w:rPr>
              <w:t>分</w:t>
            </w:r>
          </w:p>
        </w:tc>
      </w:tr>
      <w:tr w14:paraId="32904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1" w:hRule="exact"/>
        </w:trPr>
        <w:tc>
          <w:tcPr>
            <w:tcW w:w="521" w:type="dxa"/>
            <w:vMerge w:val="continue"/>
            <w:vAlign w:val="center"/>
          </w:tcPr>
          <w:p w14:paraId="711ADF70">
            <w:pPr>
              <w:spacing w:line="360" w:lineRule="exact"/>
              <w:jc w:val="center"/>
              <w:rPr>
                <w:rFonts w:hint="eastAsia" w:ascii="宋体" w:hAnsi="宋体" w:cs="宋体"/>
                <w:lang w:val="en-US" w:eastAsia="zh-CN"/>
              </w:rPr>
            </w:pPr>
          </w:p>
        </w:tc>
        <w:tc>
          <w:tcPr>
            <w:tcW w:w="1240" w:type="dxa"/>
            <w:vMerge w:val="continue"/>
            <w:vAlign w:val="center"/>
          </w:tcPr>
          <w:p w14:paraId="42798D2D">
            <w:pPr>
              <w:pStyle w:val="205"/>
              <w:tabs>
                <w:tab w:val="left" w:pos="2310"/>
              </w:tabs>
              <w:jc w:val="center"/>
              <w:rPr>
                <w:spacing w:val="10"/>
                <w:sz w:val="24"/>
                <w:szCs w:val="24"/>
              </w:rPr>
            </w:pPr>
          </w:p>
        </w:tc>
        <w:tc>
          <w:tcPr>
            <w:tcW w:w="5773" w:type="dxa"/>
            <w:shd w:val="clear" w:color="auto" w:fill="auto"/>
            <w:vAlign w:val="top"/>
          </w:tcPr>
          <w:p w14:paraId="62DAAAA8">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eastAsia="宋体" w:cs="宋体"/>
                <w:lang w:val="zh-CN" w:eastAsia="zh-CN"/>
              </w:rPr>
            </w:pPr>
            <w:r>
              <w:rPr>
                <w:rFonts w:hint="eastAsia" w:ascii="宋体" w:hAnsi="宋体" w:eastAsia="宋体" w:cs="宋体"/>
                <w:lang w:val="zh-CN" w:eastAsia="zh-CN"/>
              </w:rPr>
              <w:t>安全保密措施：</w:t>
            </w:r>
          </w:p>
          <w:p w14:paraId="29FA569B">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eastAsia="宋体" w:cs="宋体"/>
                <w:lang w:val="en-US" w:eastAsia="zh-CN"/>
              </w:rPr>
            </w:pPr>
            <w:r>
              <w:rPr>
                <w:rFonts w:hint="eastAsia" w:ascii="宋体" w:hAnsi="宋体" w:eastAsia="宋体" w:cs="宋体"/>
                <w:lang w:val="zh-CN" w:eastAsia="zh-CN"/>
              </w:rPr>
              <w:t>根据供应商针对本项目制定的安全责任制度、应急预案、以及档案、信息资料的保密措施进行评审，安全措施详细完整、保密管理切合实际、能够实现采购人保密要求，优于采购需求的，得</w:t>
            </w:r>
            <w:r>
              <w:rPr>
                <w:rFonts w:hint="eastAsia" w:ascii="宋体" w:hAnsi="宋体" w:cs="宋体"/>
                <w:lang w:val="en-US" w:eastAsia="zh-CN"/>
              </w:rPr>
              <w:t>6</w:t>
            </w:r>
            <w:r>
              <w:rPr>
                <w:rFonts w:hint="eastAsia" w:ascii="宋体" w:hAnsi="宋体" w:eastAsia="宋体" w:cs="宋体"/>
                <w:lang w:val="zh-CN" w:eastAsia="zh-CN"/>
              </w:rPr>
              <w:t>(含)分；安全措施完整，且可执行，满足采购需求的，得</w:t>
            </w:r>
            <w:r>
              <w:rPr>
                <w:rFonts w:hint="eastAsia" w:ascii="宋体" w:hAnsi="宋体" w:eastAsia="宋体" w:cs="宋体"/>
                <w:lang w:val="en-US" w:eastAsia="zh-CN"/>
              </w:rPr>
              <w:t>3</w:t>
            </w:r>
            <w:r>
              <w:rPr>
                <w:rFonts w:hint="eastAsia" w:ascii="宋体" w:hAnsi="宋体" w:eastAsia="宋体" w:cs="宋体"/>
                <w:lang w:val="zh-CN" w:eastAsia="zh-CN"/>
              </w:rPr>
              <w:t>含)分；有安全措施但不够完整，通过后期优化可以实现采购人保密要求的，得</w:t>
            </w:r>
            <w:r>
              <w:rPr>
                <w:rFonts w:hint="eastAsia" w:ascii="宋体" w:hAnsi="宋体" w:eastAsia="宋体" w:cs="宋体"/>
                <w:lang w:val="en-US" w:eastAsia="zh-CN"/>
              </w:rPr>
              <w:t>1</w:t>
            </w:r>
            <w:r>
              <w:rPr>
                <w:rFonts w:hint="eastAsia" w:ascii="宋体" w:hAnsi="宋体" w:eastAsia="宋体" w:cs="宋体"/>
                <w:lang w:val="zh-CN" w:eastAsia="zh-CN"/>
              </w:rPr>
              <w:t>(含)分；其他情况或没有内容不得分。</w:t>
            </w:r>
          </w:p>
        </w:tc>
        <w:tc>
          <w:tcPr>
            <w:tcW w:w="804" w:type="dxa"/>
            <w:shd w:val="clear" w:color="auto" w:fill="auto"/>
            <w:vAlign w:val="center"/>
          </w:tcPr>
          <w:p w14:paraId="117ADBE2">
            <w:pPr>
              <w:spacing w:line="360" w:lineRule="exact"/>
              <w:jc w:val="center"/>
              <w:rPr>
                <w:rFonts w:hint="default" w:ascii="宋体" w:hAnsi="宋体" w:cs="宋体"/>
                <w:lang w:val="en-US" w:eastAsia="zh-CN"/>
              </w:rPr>
            </w:pPr>
            <w:r>
              <w:rPr>
                <w:rFonts w:hint="eastAsia" w:ascii="宋体" w:hAnsi="宋体" w:cs="宋体"/>
                <w:lang w:val="en-US" w:eastAsia="zh-CN"/>
              </w:rPr>
              <w:t>6分</w:t>
            </w:r>
          </w:p>
        </w:tc>
      </w:tr>
      <w:tr w14:paraId="0FFFC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21" w:type="dxa"/>
            <w:vMerge w:val="continue"/>
            <w:vAlign w:val="center"/>
          </w:tcPr>
          <w:p w14:paraId="521AEBF6">
            <w:pPr>
              <w:spacing w:line="360" w:lineRule="exact"/>
              <w:jc w:val="center"/>
              <w:rPr>
                <w:rFonts w:hint="eastAsia" w:ascii="宋体" w:hAnsi="宋体" w:cs="宋体"/>
                <w:lang w:val="en-US" w:eastAsia="zh-CN"/>
              </w:rPr>
            </w:pPr>
          </w:p>
        </w:tc>
        <w:tc>
          <w:tcPr>
            <w:tcW w:w="1240" w:type="dxa"/>
            <w:vMerge w:val="continue"/>
            <w:vAlign w:val="center"/>
          </w:tcPr>
          <w:p w14:paraId="56691EB5">
            <w:pPr>
              <w:pStyle w:val="205"/>
              <w:tabs>
                <w:tab w:val="left" w:pos="2310"/>
              </w:tabs>
              <w:jc w:val="center"/>
              <w:rPr>
                <w:spacing w:val="10"/>
                <w:sz w:val="24"/>
                <w:szCs w:val="24"/>
              </w:rPr>
            </w:pPr>
          </w:p>
        </w:tc>
        <w:tc>
          <w:tcPr>
            <w:tcW w:w="5773" w:type="dxa"/>
            <w:shd w:val="clear" w:color="auto" w:fill="auto"/>
            <w:vAlign w:val="top"/>
          </w:tcPr>
          <w:p w14:paraId="7FDF4600">
            <w:pPr>
              <w:pStyle w:val="272"/>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kern w:val="2"/>
                <w:sz w:val="21"/>
                <w:szCs w:val="21"/>
                <w:lang w:val="zh-CN" w:eastAsia="zh-CN" w:bidi="ar-SA"/>
              </w:rPr>
            </w:pPr>
            <w:r>
              <w:rPr>
                <w:rFonts w:hint="eastAsia" w:ascii="宋体" w:hAnsi="宋体" w:eastAsia="宋体" w:cs="宋体"/>
                <w:kern w:val="2"/>
                <w:sz w:val="21"/>
                <w:szCs w:val="21"/>
                <w:lang w:val="zh-CN" w:eastAsia="zh-CN" w:bidi="ar-SA"/>
              </w:rPr>
              <w:t>交接方案：</w:t>
            </w:r>
          </w:p>
          <w:p w14:paraId="05AB47A9">
            <w:pPr>
              <w:pStyle w:val="272"/>
              <w:keepNext w:val="0"/>
              <w:keepLines w:val="0"/>
              <w:pageBreakBefore w:val="0"/>
              <w:widowControl w:val="0"/>
              <w:kinsoku/>
              <w:wordWrap/>
              <w:overflowPunct/>
              <w:topLinePunct w:val="0"/>
              <w:autoSpaceDE/>
              <w:autoSpaceDN/>
              <w:bidi w:val="0"/>
              <w:adjustRightInd/>
              <w:snapToGrid/>
              <w:spacing w:line="320" w:lineRule="exact"/>
              <w:ind w:firstLine="420" w:firstLineChars="200"/>
              <w:textAlignment w:val="auto"/>
              <w:rPr>
                <w:rFonts w:hint="eastAsia" w:ascii="宋体" w:hAnsi="宋体" w:eastAsia="宋体" w:cs="宋体"/>
                <w:kern w:val="2"/>
                <w:sz w:val="21"/>
                <w:szCs w:val="21"/>
                <w:lang w:val="zh-CN" w:eastAsia="zh-CN" w:bidi="ar-SA"/>
              </w:rPr>
            </w:pPr>
            <w:r>
              <w:rPr>
                <w:rFonts w:hint="eastAsia" w:ascii="宋体" w:hAnsi="宋体" w:eastAsia="宋体" w:cs="宋体"/>
                <w:kern w:val="2"/>
                <w:sz w:val="21"/>
                <w:szCs w:val="21"/>
                <w:lang w:val="zh-CN" w:eastAsia="zh-CN" w:bidi="ar-SA"/>
              </w:rPr>
              <w:t>根据进退场交接措施和采购方的配合方案等内容进行打分。方案内容完整、详细、交接措施成熟完备，优于磋商 文件要求的得</w:t>
            </w:r>
            <w:r>
              <w:rPr>
                <w:rFonts w:hint="eastAsia" w:cs="宋体"/>
                <w:kern w:val="2"/>
                <w:sz w:val="21"/>
                <w:szCs w:val="21"/>
                <w:lang w:val="en-US" w:eastAsia="zh-CN" w:bidi="ar-SA"/>
              </w:rPr>
              <w:t>6</w:t>
            </w:r>
            <w:r>
              <w:rPr>
                <w:rFonts w:hint="eastAsia" w:ascii="宋体" w:hAnsi="宋体" w:eastAsia="宋体" w:cs="宋体"/>
                <w:kern w:val="2"/>
                <w:sz w:val="21"/>
                <w:szCs w:val="21"/>
                <w:lang w:val="zh-CN" w:eastAsia="zh-CN" w:bidi="ar-SA"/>
              </w:rPr>
              <w:t>(含)分；方案内容基本完整，有对应的交接措施，满足磋商文件要求得</w:t>
            </w:r>
            <w:r>
              <w:rPr>
                <w:rFonts w:hint="eastAsia" w:ascii="宋体" w:hAnsi="宋体" w:eastAsia="宋体" w:cs="宋体"/>
                <w:kern w:val="2"/>
                <w:sz w:val="21"/>
                <w:szCs w:val="21"/>
                <w:lang w:val="en-US" w:eastAsia="zh-CN" w:bidi="ar-SA"/>
              </w:rPr>
              <w:t>3</w:t>
            </w:r>
            <w:r>
              <w:rPr>
                <w:rFonts w:hint="eastAsia" w:ascii="宋体" w:hAnsi="宋体" w:eastAsia="宋体" w:cs="宋体"/>
                <w:kern w:val="2"/>
                <w:sz w:val="21"/>
                <w:szCs w:val="21"/>
                <w:lang w:val="zh-CN" w:eastAsia="zh-CN" w:bidi="ar-SA"/>
              </w:rPr>
              <w:t>(含)分；方案内容粗  略，通过后期优化能够实现磋商文件要求得</w:t>
            </w:r>
            <w:r>
              <w:rPr>
                <w:rFonts w:hint="eastAsia" w:ascii="宋体" w:hAnsi="宋体" w:eastAsia="宋体" w:cs="宋体"/>
                <w:kern w:val="2"/>
                <w:sz w:val="21"/>
                <w:szCs w:val="21"/>
                <w:lang w:val="en-US" w:eastAsia="zh-CN" w:bidi="ar-SA"/>
              </w:rPr>
              <w:t>1</w:t>
            </w:r>
            <w:r>
              <w:rPr>
                <w:rFonts w:hint="eastAsia" w:ascii="宋体" w:hAnsi="宋体" w:eastAsia="宋体" w:cs="宋体"/>
                <w:kern w:val="2"/>
                <w:sz w:val="21"/>
                <w:szCs w:val="21"/>
                <w:lang w:val="zh-CN" w:eastAsia="zh-CN" w:bidi="ar-SA"/>
              </w:rPr>
              <w:t>(含)分； 其他情况或没有内容不得分。</w:t>
            </w:r>
          </w:p>
        </w:tc>
        <w:tc>
          <w:tcPr>
            <w:tcW w:w="804" w:type="dxa"/>
            <w:shd w:val="clear" w:color="auto" w:fill="auto"/>
            <w:vAlign w:val="center"/>
          </w:tcPr>
          <w:p w14:paraId="48EDCC8B">
            <w:pPr>
              <w:spacing w:line="360" w:lineRule="exact"/>
              <w:jc w:val="center"/>
              <w:rPr>
                <w:rFonts w:hint="default" w:ascii="宋体" w:hAnsi="宋体" w:cs="宋体"/>
                <w:lang w:val="en-US" w:eastAsia="zh-CN"/>
              </w:rPr>
            </w:pPr>
            <w:r>
              <w:rPr>
                <w:rFonts w:hint="eastAsia" w:ascii="宋体" w:hAnsi="宋体" w:cs="宋体"/>
                <w:lang w:val="en-US" w:eastAsia="zh-CN"/>
              </w:rPr>
              <w:t>6分</w:t>
            </w:r>
          </w:p>
        </w:tc>
      </w:tr>
      <w:tr w14:paraId="32103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7" w:hRule="atLeast"/>
        </w:trPr>
        <w:tc>
          <w:tcPr>
            <w:tcW w:w="521" w:type="dxa"/>
            <w:vMerge w:val="continue"/>
            <w:vAlign w:val="center"/>
          </w:tcPr>
          <w:p w14:paraId="69A7D63C">
            <w:pPr>
              <w:spacing w:line="360" w:lineRule="exact"/>
              <w:jc w:val="center"/>
              <w:rPr>
                <w:rFonts w:hint="eastAsia" w:ascii="宋体" w:hAnsi="宋体" w:cs="宋体"/>
                <w:lang w:val="en-US" w:eastAsia="zh-CN"/>
              </w:rPr>
            </w:pPr>
          </w:p>
        </w:tc>
        <w:tc>
          <w:tcPr>
            <w:tcW w:w="1240" w:type="dxa"/>
            <w:vMerge w:val="continue"/>
            <w:vAlign w:val="center"/>
          </w:tcPr>
          <w:p w14:paraId="46DA265A">
            <w:pPr>
              <w:pStyle w:val="205"/>
              <w:tabs>
                <w:tab w:val="left" w:pos="2310"/>
              </w:tabs>
              <w:jc w:val="center"/>
              <w:rPr>
                <w:spacing w:val="10"/>
                <w:sz w:val="24"/>
                <w:szCs w:val="24"/>
              </w:rPr>
            </w:pPr>
          </w:p>
        </w:tc>
        <w:tc>
          <w:tcPr>
            <w:tcW w:w="5773" w:type="dxa"/>
            <w:shd w:val="clear" w:color="auto" w:fill="auto"/>
            <w:vAlign w:val="top"/>
          </w:tcPr>
          <w:p w14:paraId="67645B13">
            <w:pPr>
              <w:pStyle w:val="272"/>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kern w:val="2"/>
                <w:sz w:val="21"/>
                <w:szCs w:val="21"/>
                <w:lang w:val="zh-CN" w:eastAsia="zh-CN" w:bidi="ar-SA"/>
              </w:rPr>
            </w:pPr>
            <w:r>
              <w:rPr>
                <w:rFonts w:hint="eastAsia" w:ascii="宋体" w:hAnsi="宋体" w:eastAsia="宋体" w:cs="宋体"/>
                <w:kern w:val="2"/>
                <w:sz w:val="21"/>
                <w:szCs w:val="21"/>
                <w:lang w:val="zh-CN" w:eastAsia="zh-CN" w:bidi="ar-SA"/>
              </w:rPr>
              <w:t>应急预案：</w:t>
            </w:r>
          </w:p>
          <w:p w14:paraId="6FCE7A03">
            <w:pPr>
              <w:pStyle w:val="272"/>
              <w:keepNext w:val="0"/>
              <w:keepLines w:val="0"/>
              <w:pageBreakBefore w:val="0"/>
              <w:widowControl w:val="0"/>
              <w:kinsoku/>
              <w:wordWrap/>
              <w:overflowPunct/>
              <w:topLinePunct w:val="0"/>
              <w:autoSpaceDE/>
              <w:autoSpaceDN/>
              <w:bidi w:val="0"/>
              <w:adjustRightInd/>
              <w:snapToGrid/>
              <w:spacing w:line="320" w:lineRule="exact"/>
              <w:ind w:firstLine="420" w:firstLineChars="200"/>
              <w:textAlignment w:val="auto"/>
              <w:rPr>
                <w:rFonts w:hint="eastAsia" w:ascii="宋体" w:hAnsi="宋体" w:eastAsia="宋体" w:cs="宋体"/>
                <w:kern w:val="2"/>
                <w:sz w:val="21"/>
                <w:szCs w:val="21"/>
                <w:lang w:val="zh-CN" w:eastAsia="zh-CN" w:bidi="ar-SA"/>
              </w:rPr>
            </w:pPr>
            <w:r>
              <w:rPr>
                <w:rFonts w:hint="eastAsia" w:ascii="宋体" w:hAnsi="宋体" w:eastAsia="宋体" w:cs="宋体"/>
                <w:kern w:val="2"/>
                <w:sz w:val="21"/>
                <w:szCs w:val="21"/>
                <w:lang w:val="zh-CN" w:eastAsia="zh-CN" w:bidi="ar-SA"/>
              </w:rPr>
              <w:t>服务保障及突发事件的应急措施，主要包括治安防范、消防、洪涝、雨雪、停电、停水及其他突发事件等有相对 完善的组织机构和应急预案等内容进行打分。应急处理措 施成熟、方案全面利于执行、与采购单位配合度高，优于 磋商文件要求得</w:t>
            </w:r>
            <w:r>
              <w:rPr>
                <w:rFonts w:hint="eastAsia" w:cs="宋体"/>
                <w:kern w:val="2"/>
                <w:sz w:val="21"/>
                <w:szCs w:val="21"/>
                <w:lang w:val="en-US" w:eastAsia="zh-CN" w:bidi="ar-SA"/>
              </w:rPr>
              <w:t>6</w:t>
            </w:r>
            <w:r>
              <w:rPr>
                <w:rFonts w:hint="eastAsia" w:ascii="宋体" w:hAnsi="宋体" w:eastAsia="宋体" w:cs="宋体"/>
                <w:kern w:val="2"/>
                <w:sz w:val="21"/>
                <w:szCs w:val="21"/>
                <w:lang w:val="zh-CN" w:eastAsia="zh-CN" w:bidi="ar-SA"/>
              </w:rPr>
              <w:t>(含)分；有可行的应急处理措施，有与采购单位配合的对应措施得</w:t>
            </w:r>
            <w:r>
              <w:rPr>
                <w:rFonts w:hint="eastAsia" w:ascii="宋体" w:hAnsi="宋体" w:eastAsia="宋体" w:cs="宋体"/>
                <w:kern w:val="2"/>
                <w:sz w:val="21"/>
                <w:szCs w:val="21"/>
                <w:lang w:val="en-US" w:eastAsia="zh-CN" w:bidi="ar-SA"/>
              </w:rPr>
              <w:t>3</w:t>
            </w:r>
            <w:r>
              <w:rPr>
                <w:rFonts w:hint="eastAsia" w:ascii="宋体" w:hAnsi="宋体" w:eastAsia="宋体" w:cs="宋体"/>
                <w:kern w:val="2"/>
                <w:sz w:val="21"/>
                <w:szCs w:val="21"/>
                <w:lang w:val="zh-CN" w:eastAsia="zh-CN" w:bidi="ar-SA"/>
              </w:rPr>
              <w:t>(含)分；应急处理方法能够满足招标需求得</w:t>
            </w:r>
            <w:r>
              <w:rPr>
                <w:rFonts w:hint="eastAsia" w:ascii="宋体" w:hAnsi="宋体" w:eastAsia="宋体" w:cs="宋体"/>
                <w:kern w:val="2"/>
                <w:sz w:val="21"/>
                <w:szCs w:val="21"/>
                <w:lang w:val="en-US" w:eastAsia="zh-CN" w:bidi="ar-SA"/>
              </w:rPr>
              <w:t>1</w:t>
            </w:r>
            <w:r>
              <w:rPr>
                <w:rFonts w:hint="eastAsia" w:ascii="宋体" w:hAnsi="宋体" w:eastAsia="宋体" w:cs="宋体"/>
                <w:kern w:val="2"/>
                <w:sz w:val="21"/>
                <w:szCs w:val="21"/>
                <w:lang w:val="zh-CN" w:eastAsia="zh-CN" w:bidi="ar-SA"/>
              </w:rPr>
              <w:t>(含)分；其他情况或没有内容的不得分。</w:t>
            </w:r>
          </w:p>
        </w:tc>
        <w:tc>
          <w:tcPr>
            <w:tcW w:w="804" w:type="dxa"/>
            <w:shd w:val="clear" w:color="auto" w:fill="auto"/>
            <w:vAlign w:val="center"/>
          </w:tcPr>
          <w:p w14:paraId="580ADD88">
            <w:pPr>
              <w:spacing w:line="360" w:lineRule="exact"/>
              <w:jc w:val="center"/>
              <w:rPr>
                <w:rFonts w:hint="default" w:ascii="宋体" w:hAnsi="宋体" w:cs="宋体"/>
                <w:lang w:val="en-US" w:eastAsia="zh-CN"/>
              </w:rPr>
            </w:pPr>
            <w:r>
              <w:rPr>
                <w:rFonts w:hint="eastAsia" w:ascii="宋体" w:hAnsi="宋体" w:cs="宋体"/>
                <w:lang w:val="en-US" w:eastAsia="zh-CN"/>
              </w:rPr>
              <w:t>6分</w:t>
            </w:r>
          </w:p>
        </w:tc>
      </w:tr>
      <w:tr w14:paraId="6708B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9" w:hRule="atLeast"/>
        </w:trPr>
        <w:tc>
          <w:tcPr>
            <w:tcW w:w="521" w:type="dxa"/>
            <w:vMerge w:val="continue"/>
            <w:vAlign w:val="center"/>
          </w:tcPr>
          <w:p w14:paraId="16485169">
            <w:pPr>
              <w:spacing w:line="360" w:lineRule="exact"/>
              <w:jc w:val="center"/>
              <w:rPr>
                <w:rFonts w:hint="eastAsia" w:ascii="宋体" w:hAnsi="宋体" w:cs="宋体"/>
                <w:lang w:val="en-US" w:eastAsia="zh-CN"/>
              </w:rPr>
            </w:pPr>
          </w:p>
        </w:tc>
        <w:tc>
          <w:tcPr>
            <w:tcW w:w="1240" w:type="dxa"/>
            <w:vMerge w:val="continue"/>
            <w:vAlign w:val="center"/>
          </w:tcPr>
          <w:p w14:paraId="367BA235">
            <w:pPr>
              <w:pStyle w:val="205"/>
              <w:tabs>
                <w:tab w:val="left" w:pos="2310"/>
              </w:tabs>
              <w:jc w:val="center"/>
              <w:rPr>
                <w:spacing w:val="10"/>
                <w:sz w:val="24"/>
                <w:szCs w:val="24"/>
              </w:rPr>
            </w:pPr>
          </w:p>
        </w:tc>
        <w:tc>
          <w:tcPr>
            <w:tcW w:w="5773" w:type="dxa"/>
            <w:shd w:val="clear" w:color="auto" w:fill="auto"/>
            <w:vAlign w:val="top"/>
          </w:tcPr>
          <w:p w14:paraId="2FBE81BA">
            <w:pPr>
              <w:pStyle w:val="272"/>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kern w:val="2"/>
                <w:sz w:val="21"/>
                <w:szCs w:val="21"/>
                <w:lang w:val="zh-CN" w:eastAsia="zh-CN" w:bidi="ar-SA"/>
              </w:rPr>
            </w:pPr>
            <w:r>
              <w:rPr>
                <w:rFonts w:hint="eastAsia" w:ascii="宋体" w:hAnsi="宋体" w:eastAsia="宋体" w:cs="宋体"/>
                <w:kern w:val="2"/>
                <w:sz w:val="21"/>
                <w:szCs w:val="21"/>
                <w:lang w:val="zh-CN" w:eastAsia="zh-CN" w:bidi="ar-SA"/>
              </w:rPr>
              <w:t>物资配置：</w:t>
            </w:r>
          </w:p>
          <w:p w14:paraId="46994115">
            <w:pPr>
              <w:pStyle w:val="272"/>
              <w:keepNext w:val="0"/>
              <w:keepLines w:val="0"/>
              <w:pageBreakBefore w:val="0"/>
              <w:widowControl w:val="0"/>
              <w:kinsoku/>
              <w:wordWrap/>
              <w:overflowPunct/>
              <w:topLinePunct w:val="0"/>
              <w:autoSpaceDE/>
              <w:autoSpaceDN/>
              <w:bidi w:val="0"/>
              <w:adjustRightInd/>
              <w:snapToGrid/>
              <w:spacing w:line="320" w:lineRule="exact"/>
              <w:ind w:firstLine="420" w:firstLineChars="200"/>
              <w:textAlignment w:val="auto"/>
              <w:rPr>
                <w:spacing w:val="-1"/>
                <w:sz w:val="24"/>
                <w:szCs w:val="24"/>
              </w:rPr>
            </w:pPr>
            <w:r>
              <w:rPr>
                <w:rFonts w:hint="eastAsia" w:ascii="宋体" w:hAnsi="宋体" w:eastAsia="宋体" w:cs="宋体"/>
                <w:kern w:val="2"/>
                <w:sz w:val="21"/>
                <w:szCs w:val="21"/>
                <w:lang w:val="zh-CN" w:eastAsia="zh-CN" w:bidi="ar-SA"/>
              </w:rPr>
              <w:t>在满足采购需求的基础上，根据供应商对拟投入本项目服务的设备工具及物耗清单从外观、功能等方面进行打分，装备成新度高、安全防范功能强的得</w:t>
            </w:r>
            <w:r>
              <w:rPr>
                <w:rFonts w:hint="eastAsia" w:ascii="宋体" w:hAnsi="宋体" w:eastAsia="宋体" w:cs="宋体"/>
                <w:kern w:val="2"/>
                <w:sz w:val="21"/>
                <w:szCs w:val="21"/>
                <w:lang w:val="en-US" w:eastAsia="zh-CN" w:bidi="ar-SA"/>
              </w:rPr>
              <w:t>4</w:t>
            </w:r>
            <w:r>
              <w:rPr>
                <w:rFonts w:hint="eastAsia" w:ascii="宋体" w:hAnsi="宋体" w:eastAsia="宋体" w:cs="宋体"/>
                <w:kern w:val="2"/>
                <w:sz w:val="21"/>
                <w:szCs w:val="21"/>
                <w:lang w:val="zh-CN" w:eastAsia="zh-CN" w:bidi="ar-SA"/>
              </w:rPr>
              <w:t>(含)分；装备成新度高，但安全防范功能不明显的得</w:t>
            </w:r>
            <w:r>
              <w:rPr>
                <w:rFonts w:hint="eastAsia" w:ascii="宋体" w:hAnsi="宋体" w:eastAsia="宋体" w:cs="宋体"/>
                <w:kern w:val="2"/>
                <w:sz w:val="21"/>
                <w:szCs w:val="21"/>
                <w:lang w:val="en-US" w:eastAsia="zh-CN" w:bidi="ar-SA"/>
              </w:rPr>
              <w:t>2</w:t>
            </w:r>
            <w:r>
              <w:rPr>
                <w:rFonts w:hint="eastAsia" w:ascii="宋体" w:hAnsi="宋体" w:eastAsia="宋体" w:cs="宋体"/>
                <w:kern w:val="2"/>
                <w:sz w:val="21"/>
                <w:szCs w:val="21"/>
                <w:lang w:val="zh-CN" w:eastAsia="zh-CN" w:bidi="ar-SA"/>
              </w:rPr>
              <w:t>(含)分； 其他情况或没有内容的不得分。</w:t>
            </w:r>
          </w:p>
        </w:tc>
        <w:tc>
          <w:tcPr>
            <w:tcW w:w="804" w:type="dxa"/>
            <w:shd w:val="clear" w:color="auto" w:fill="auto"/>
            <w:vAlign w:val="center"/>
          </w:tcPr>
          <w:p w14:paraId="6CECBE74">
            <w:pPr>
              <w:spacing w:line="360" w:lineRule="exact"/>
              <w:jc w:val="center"/>
              <w:rPr>
                <w:rFonts w:hint="default" w:eastAsia="宋体"/>
                <w:spacing w:val="5"/>
                <w:sz w:val="24"/>
                <w:szCs w:val="24"/>
                <w:lang w:val="en-US" w:eastAsia="zh-CN"/>
              </w:rPr>
            </w:pPr>
            <w:r>
              <w:rPr>
                <w:rFonts w:hint="eastAsia" w:ascii="宋体" w:hAnsi="宋体" w:cs="宋体"/>
                <w:lang w:val="en-US" w:eastAsia="zh-CN"/>
              </w:rPr>
              <w:t>4分</w:t>
            </w:r>
          </w:p>
        </w:tc>
      </w:tr>
    </w:tbl>
    <w:p w14:paraId="289FC8CF">
      <w:pPr>
        <w:spacing w:line="500" w:lineRule="exact"/>
        <w:ind w:firstLine="560"/>
        <w:rPr>
          <w:rFonts w:hint="eastAsia" w:ascii="宋体" w:hAnsi="宋体" w:cs="仿宋_GB2312"/>
          <w:b/>
          <w:color w:val="000000"/>
          <w:sz w:val="28"/>
          <w:szCs w:val="28"/>
        </w:rPr>
      </w:pPr>
      <w:r>
        <w:rPr>
          <w:rFonts w:hint="eastAsia" w:ascii="宋体" w:hAnsi="宋体" w:cs="仿宋_GB2312"/>
          <w:b/>
          <w:color w:val="000000"/>
          <w:sz w:val="28"/>
          <w:szCs w:val="28"/>
        </w:rPr>
        <w:t>备注：商务技术分不满</w:t>
      </w:r>
      <w:r>
        <w:rPr>
          <w:rFonts w:hint="eastAsia" w:ascii="宋体" w:hAnsi="宋体" w:cs="仿宋_GB2312"/>
          <w:b/>
          <w:color w:val="000000"/>
          <w:sz w:val="28"/>
          <w:szCs w:val="28"/>
          <w:lang w:val="en-US" w:eastAsia="zh-CN"/>
        </w:rPr>
        <w:t>40</w:t>
      </w:r>
      <w:r>
        <w:rPr>
          <w:rFonts w:hint="eastAsia" w:ascii="宋体" w:hAnsi="宋体" w:cs="仿宋_GB2312"/>
          <w:b/>
          <w:color w:val="000000"/>
          <w:sz w:val="28"/>
          <w:szCs w:val="28"/>
        </w:rPr>
        <w:t>分的，作无效投标文件处理。上述评分项须提供证明材料的，投标文件中均须提供复印件并加盖单位公章，否则该评分项不予计分。</w:t>
      </w:r>
    </w:p>
    <w:p w14:paraId="4DF2CFC7">
      <w:pPr>
        <w:spacing w:line="500" w:lineRule="exact"/>
        <w:ind w:firstLine="281"/>
        <w:rPr>
          <w:rFonts w:hint="eastAsia" w:ascii="宋体" w:hAnsi="宋体" w:cs="宋体"/>
          <w:sz w:val="28"/>
          <w:szCs w:val="28"/>
          <w:highlight w:val="yellow"/>
        </w:rPr>
      </w:pPr>
      <w:r>
        <w:rPr>
          <w:rFonts w:hint="eastAsia" w:ascii="宋体" w:hAnsi="宋体" w:cs="宋体"/>
          <w:b/>
          <w:sz w:val="28"/>
          <w:szCs w:val="28"/>
        </w:rPr>
        <w:t>（四）</w:t>
      </w:r>
      <w:r>
        <w:rPr>
          <w:rFonts w:hint="eastAsia" w:ascii="宋体" w:hAnsi="宋体" w:cs="宋体"/>
          <w:b/>
          <w:sz w:val="28"/>
          <w:szCs w:val="28"/>
          <w:lang w:val="zh-CN"/>
        </w:rPr>
        <w:t>价格标（</w:t>
      </w:r>
      <w:r>
        <w:rPr>
          <w:rFonts w:hint="eastAsia" w:ascii="宋体" w:hAnsi="宋体" w:cs="宋体"/>
          <w:b/>
          <w:sz w:val="28"/>
          <w:szCs w:val="28"/>
          <w:lang w:val="en-US" w:eastAsia="zh-CN"/>
        </w:rPr>
        <w:t>20</w:t>
      </w:r>
      <w:r>
        <w:rPr>
          <w:rFonts w:hint="eastAsia" w:ascii="宋体" w:hAnsi="宋体" w:cs="宋体"/>
          <w:b/>
          <w:sz w:val="28"/>
          <w:szCs w:val="28"/>
          <w:lang w:val="zh-CN"/>
        </w:rPr>
        <w:t>分）</w:t>
      </w:r>
    </w:p>
    <w:p w14:paraId="3F496B1B">
      <w:pPr>
        <w:spacing w:line="500" w:lineRule="exact"/>
        <w:ind w:firstLine="560"/>
        <w:rPr>
          <w:rFonts w:hint="eastAsia" w:ascii="宋体" w:hAnsi="宋体" w:cs="宋体"/>
          <w:sz w:val="28"/>
          <w:szCs w:val="28"/>
        </w:rPr>
      </w:pPr>
      <w:r>
        <w:rPr>
          <w:rFonts w:hint="eastAsia" w:ascii="宋体" w:hAnsi="宋体" w:cs="宋体"/>
          <w:sz w:val="28"/>
          <w:szCs w:val="28"/>
        </w:rPr>
        <w:t>价格分统一采用低价优先法计算，即满足磋商文件要求且最后报价最低的供应商的价格为磋商基准价，其价格分为满分。其他供应商的价格分统一按照下列公式计算：</w:t>
      </w:r>
    </w:p>
    <w:p w14:paraId="3D22817B">
      <w:pPr>
        <w:spacing w:line="460" w:lineRule="exact"/>
        <w:ind w:firstLine="560"/>
        <w:rPr>
          <w:rFonts w:hint="eastAsia" w:ascii="宋体" w:hAnsi="宋体" w:cs="仿宋_GB2312"/>
          <w:color w:val="000000"/>
          <w:sz w:val="28"/>
          <w:szCs w:val="28"/>
        </w:rPr>
      </w:pPr>
      <w:r>
        <w:rPr>
          <w:rFonts w:hint="eastAsia" w:ascii="宋体" w:hAnsi="宋体" w:cs="仿宋_GB2312"/>
          <w:color w:val="000000"/>
          <w:sz w:val="28"/>
          <w:szCs w:val="28"/>
        </w:rPr>
        <w:t>投标报价得分=(评标基准价／投标报价)×价格权值×</w:t>
      </w:r>
      <w:r>
        <w:rPr>
          <w:rFonts w:ascii="宋体" w:hAnsi="宋体" w:cs="仿宋_GB2312"/>
          <w:color w:val="000000"/>
          <w:sz w:val="28"/>
          <w:szCs w:val="28"/>
        </w:rPr>
        <w:t>100</w:t>
      </w:r>
      <w:r>
        <w:rPr>
          <w:rFonts w:hint="eastAsia" w:ascii="宋体" w:hAnsi="宋体" w:cs="仿宋_GB2312"/>
          <w:color w:val="000000"/>
          <w:sz w:val="28"/>
          <w:szCs w:val="28"/>
        </w:rPr>
        <w:t>，得分采用四舍五入法保留两位小数。</w:t>
      </w:r>
    </w:p>
    <w:p w14:paraId="2E5EDD76">
      <w:pPr>
        <w:spacing w:line="460" w:lineRule="exact"/>
        <w:ind w:firstLine="562"/>
        <w:rPr>
          <w:rFonts w:ascii="宋体" w:hAnsi="宋体" w:cs="仿宋_GB2312"/>
          <w:b/>
          <w:bCs/>
          <w:sz w:val="28"/>
          <w:szCs w:val="28"/>
        </w:rPr>
      </w:pPr>
      <w:r>
        <w:rPr>
          <w:rFonts w:hint="eastAsia" w:ascii="宋体" w:hAnsi="宋体"/>
          <w:b/>
          <w:bCs/>
          <w:color w:val="000000"/>
          <w:sz w:val="28"/>
          <w:szCs w:val="28"/>
          <w:shd w:val="clear" w:color="auto" w:fill="FFFFFF"/>
        </w:rPr>
        <w:t>（五）政府采购政策功能落实</w:t>
      </w:r>
    </w:p>
    <w:p w14:paraId="0603A492">
      <w:pPr>
        <w:spacing w:line="460" w:lineRule="exact"/>
        <w:ind w:firstLine="560"/>
        <w:rPr>
          <w:rFonts w:ascii="宋体" w:hAnsi="宋体" w:cs="仿宋_GB2312"/>
          <w:bCs/>
          <w:sz w:val="28"/>
          <w:szCs w:val="28"/>
        </w:rPr>
      </w:pPr>
      <w:r>
        <w:rPr>
          <w:rFonts w:hint="eastAsia" w:ascii="宋体" w:hAnsi="宋体" w:cs="仿宋_GB2312"/>
          <w:bCs/>
          <w:sz w:val="28"/>
          <w:szCs w:val="28"/>
        </w:rPr>
        <w:t>1、小微型企业价格扣除</w:t>
      </w:r>
    </w:p>
    <w:p w14:paraId="015EFBF4">
      <w:pPr>
        <w:spacing w:line="460" w:lineRule="exact"/>
        <w:ind w:firstLine="560"/>
        <w:rPr>
          <w:rFonts w:ascii="宋体" w:hAnsi="宋体" w:cs="仿宋_GB2312"/>
          <w:bCs/>
          <w:sz w:val="28"/>
          <w:szCs w:val="28"/>
        </w:rPr>
      </w:pPr>
      <w:r>
        <w:rPr>
          <w:rFonts w:hint="eastAsia" w:ascii="宋体" w:hAnsi="宋体" w:cs="仿宋_GB2312"/>
          <w:bCs/>
          <w:sz w:val="28"/>
          <w:szCs w:val="28"/>
        </w:rPr>
        <w:t>（1）本项目对小型和微型企业产品给予10%的扣除价格，用扣除后的价格参与评审。</w:t>
      </w:r>
    </w:p>
    <w:p w14:paraId="02479199">
      <w:pPr>
        <w:spacing w:line="460" w:lineRule="exact"/>
        <w:ind w:firstLine="560"/>
        <w:rPr>
          <w:rFonts w:ascii="宋体" w:hAnsi="宋体" w:cs="仿宋_GB2312"/>
          <w:bCs/>
          <w:sz w:val="28"/>
          <w:szCs w:val="28"/>
        </w:rPr>
      </w:pPr>
      <w:r>
        <w:rPr>
          <w:rFonts w:hint="eastAsia" w:ascii="宋体" w:hAnsi="宋体" w:cs="仿宋_GB2312"/>
          <w:bCs/>
          <w:sz w:val="28"/>
          <w:szCs w:val="28"/>
        </w:rPr>
        <w:t>（2）供应商需按照《政府采购促进中小企业发展管理办法》（财库﹝2020﹞46号）的规定提供相应的《中小企业声明函》。</w:t>
      </w:r>
    </w:p>
    <w:p w14:paraId="199F1348">
      <w:pPr>
        <w:spacing w:line="460" w:lineRule="exact"/>
        <w:ind w:firstLine="560"/>
        <w:rPr>
          <w:rFonts w:ascii="宋体" w:hAnsi="宋体" w:cs="仿宋_GB2312"/>
          <w:bCs/>
          <w:sz w:val="28"/>
          <w:szCs w:val="28"/>
        </w:rPr>
      </w:pPr>
      <w:r>
        <w:rPr>
          <w:rFonts w:hint="eastAsia" w:ascii="宋体" w:hAnsi="宋体" w:cs="仿宋_GB2312"/>
          <w:bCs/>
          <w:sz w:val="28"/>
          <w:szCs w:val="28"/>
        </w:rPr>
        <w:t>（3）企业标准请参照《关于印发中小企业划型标准规定的通知》（工信部联企业[2011]300号）文件规定自行填写。</w:t>
      </w:r>
    </w:p>
    <w:p w14:paraId="5869D4D5">
      <w:pPr>
        <w:spacing w:line="460" w:lineRule="exact"/>
        <w:ind w:firstLine="560"/>
        <w:rPr>
          <w:rFonts w:ascii="宋体" w:hAnsi="宋体" w:cs="仿宋_GB2312"/>
          <w:bCs/>
          <w:sz w:val="28"/>
          <w:szCs w:val="28"/>
        </w:rPr>
      </w:pPr>
      <w:r>
        <w:rPr>
          <w:rFonts w:hint="eastAsia" w:ascii="宋体" w:hAnsi="宋体" w:cs="仿宋_GB2312"/>
          <w:bCs/>
          <w:sz w:val="28"/>
          <w:szCs w:val="28"/>
        </w:rPr>
        <w:t>2、残疾人福利单位价格扣除</w:t>
      </w:r>
    </w:p>
    <w:p w14:paraId="72BB3B1E">
      <w:pPr>
        <w:spacing w:line="460" w:lineRule="exact"/>
        <w:ind w:firstLine="560"/>
        <w:rPr>
          <w:rFonts w:ascii="宋体" w:hAnsi="宋体" w:cs="仿宋_GB2312"/>
          <w:bCs/>
          <w:sz w:val="28"/>
          <w:szCs w:val="28"/>
        </w:rPr>
      </w:pPr>
      <w:r>
        <w:rPr>
          <w:rFonts w:hint="eastAsia" w:ascii="宋体" w:hAnsi="宋体" w:cs="仿宋_GB2312"/>
          <w:bCs/>
          <w:sz w:val="28"/>
          <w:szCs w:val="28"/>
        </w:rPr>
        <w:t>（1）本项目对残疾人福利性单位，给予10%的价格扣除，用扣除后的价格参与评审。</w:t>
      </w:r>
    </w:p>
    <w:p w14:paraId="0CFB35D7">
      <w:pPr>
        <w:spacing w:line="460" w:lineRule="exact"/>
        <w:ind w:firstLine="560"/>
        <w:rPr>
          <w:rFonts w:ascii="宋体" w:hAnsi="宋体" w:cs="仿宋_GB2312"/>
          <w:bCs/>
          <w:sz w:val="28"/>
          <w:szCs w:val="28"/>
        </w:rPr>
      </w:pPr>
      <w:r>
        <w:rPr>
          <w:rFonts w:hint="eastAsia" w:ascii="宋体" w:hAnsi="宋体" w:cs="仿宋_GB2312"/>
          <w:bCs/>
          <w:sz w:val="28"/>
          <w:szCs w:val="28"/>
        </w:rPr>
        <w:t>（2）残疾人福利单位需按照采购文件的要求提供《残疾人福利性单位声明函》。</w:t>
      </w:r>
    </w:p>
    <w:p w14:paraId="3860F222">
      <w:pPr>
        <w:spacing w:line="460" w:lineRule="exact"/>
        <w:ind w:firstLine="560"/>
        <w:rPr>
          <w:rFonts w:ascii="宋体" w:hAnsi="宋体" w:cs="仿宋_GB2312"/>
          <w:bCs/>
          <w:sz w:val="28"/>
          <w:szCs w:val="28"/>
        </w:rPr>
      </w:pPr>
      <w:r>
        <w:rPr>
          <w:rFonts w:hint="eastAsia" w:ascii="宋体" w:hAnsi="宋体" w:cs="仿宋_GB2312"/>
          <w:bCs/>
          <w:sz w:val="28"/>
          <w:szCs w:val="28"/>
        </w:rPr>
        <w:t>（3）残疾人福利单位标准请参照《关于促进残疾人就业政府采购政策的通知》（财库〔2017〕141号）。</w:t>
      </w:r>
    </w:p>
    <w:p w14:paraId="69267CCD">
      <w:pPr>
        <w:spacing w:line="460" w:lineRule="exact"/>
        <w:ind w:firstLine="560"/>
        <w:rPr>
          <w:rFonts w:ascii="宋体" w:hAnsi="宋体" w:cs="仿宋_GB2312"/>
          <w:bCs/>
          <w:sz w:val="28"/>
          <w:szCs w:val="28"/>
        </w:rPr>
      </w:pPr>
      <w:r>
        <w:rPr>
          <w:rFonts w:hint="eastAsia" w:ascii="宋体" w:hAnsi="宋体" w:cs="仿宋_GB2312"/>
          <w:bCs/>
          <w:sz w:val="28"/>
          <w:szCs w:val="28"/>
        </w:rPr>
        <w:t>3、监狱和戒毒企业价格扣除</w:t>
      </w:r>
    </w:p>
    <w:p w14:paraId="1BBA0C26">
      <w:pPr>
        <w:spacing w:line="460" w:lineRule="exact"/>
        <w:ind w:firstLine="560"/>
        <w:rPr>
          <w:rFonts w:ascii="宋体" w:hAnsi="宋体" w:cs="仿宋_GB2312"/>
          <w:bCs/>
          <w:sz w:val="28"/>
          <w:szCs w:val="28"/>
        </w:rPr>
      </w:pPr>
      <w:r>
        <w:rPr>
          <w:rFonts w:hint="eastAsia" w:ascii="宋体" w:hAnsi="宋体" w:cs="仿宋_GB2312"/>
          <w:bCs/>
          <w:sz w:val="28"/>
          <w:szCs w:val="28"/>
        </w:rPr>
        <w:t>（1）本项目对监狱和戒毒企业（简称监狱企业）给予10%的价格扣除，用扣除后的价格参与评审。</w:t>
      </w:r>
    </w:p>
    <w:p w14:paraId="47A7CFC7">
      <w:pPr>
        <w:spacing w:line="460" w:lineRule="exact"/>
        <w:ind w:firstLine="560"/>
        <w:rPr>
          <w:rFonts w:ascii="宋体" w:hAnsi="宋体" w:cs="仿宋_GB2312"/>
          <w:bCs/>
          <w:sz w:val="28"/>
          <w:szCs w:val="28"/>
        </w:rPr>
      </w:pPr>
      <w:r>
        <w:rPr>
          <w:rFonts w:hint="eastAsia" w:ascii="宋体" w:hAnsi="宋体" w:cs="仿宋_GB2312"/>
          <w:bCs/>
          <w:sz w:val="28"/>
          <w:szCs w:val="28"/>
        </w:rPr>
        <w:t>（2）监狱企业参加政府采购活动时，需提供由省级以上监狱管理局、戒毒管理局(含新疆生产建设兵团)出具的属于监狱企业的证明文件。供应商如不提供上述证明文件，价格将不做相应扣除。</w:t>
      </w:r>
    </w:p>
    <w:p w14:paraId="0C629683">
      <w:pPr>
        <w:spacing w:line="460" w:lineRule="exact"/>
        <w:ind w:firstLine="560"/>
        <w:rPr>
          <w:rFonts w:ascii="宋体" w:hAnsi="宋体" w:cs="仿宋_GB2312"/>
          <w:bCs/>
          <w:sz w:val="28"/>
          <w:szCs w:val="28"/>
        </w:rPr>
      </w:pPr>
      <w:r>
        <w:rPr>
          <w:rFonts w:hint="eastAsia" w:ascii="宋体" w:hAnsi="宋体" w:cs="仿宋_GB2312"/>
          <w:bCs/>
          <w:sz w:val="28"/>
          <w:szCs w:val="28"/>
        </w:rPr>
        <w:t>（3）监狱企业标准请参照《关于政府采购支持监狱企业发展有关问题的通知》（财库[2014]68号）。</w:t>
      </w:r>
    </w:p>
    <w:p w14:paraId="3EE40C2E">
      <w:pPr>
        <w:spacing w:line="460" w:lineRule="exact"/>
        <w:ind w:firstLine="560"/>
        <w:rPr>
          <w:rFonts w:ascii="宋体" w:hAnsi="宋体" w:cs="仿宋_GB2312"/>
          <w:bCs/>
          <w:sz w:val="28"/>
          <w:szCs w:val="28"/>
        </w:rPr>
      </w:pPr>
      <w:r>
        <w:rPr>
          <w:rFonts w:hint="eastAsia" w:ascii="宋体" w:hAnsi="宋体" w:cs="仿宋_GB2312"/>
          <w:bCs/>
          <w:sz w:val="28"/>
          <w:szCs w:val="28"/>
        </w:rPr>
        <w:t>4、残疾人福利单位、监狱企业属于小型、微型企业的，不重复享受政策。</w:t>
      </w:r>
    </w:p>
    <w:p w14:paraId="64E72ADE">
      <w:pPr>
        <w:spacing w:line="460" w:lineRule="exact"/>
        <w:ind w:firstLine="560"/>
        <w:rPr>
          <w:rFonts w:ascii="宋体" w:hAnsi="宋体" w:cs="仿宋_GB2312"/>
          <w:bCs/>
          <w:sz w:val="28"/>
          <w:szCs w:val="28"/>
        </w:rPr>
      </w:pPr>
      <w:r>
        <w:rPr>
          <w:rFonts w:hint="eastAsia" w:ascii="宋体" w:hAnsi="宋体" w:cs="仿宋_GB2312"/>
          <w:bCs/>
          <w:sz w:val="28"/>
          <w:szCs w:val="28"/>
        </w:rPr>
        <w:t>5、大中型企业与小微企业（残疾人福利单位、监狱企业）组成联合体或者大中型企业向小微企业（残疾人福利单位、监狱企业）分包的，对联合协议或者分包意向协议约定小微企业合同份额占到合同总金额30%以上的，对联合体或者大中型企业的报价给予6%的扣除，用扣除后的价格参与评审。</w:t>
      </w:r>
    </w:p>
    <w:p w14:paraId="4E968F0F">
      <w:pPr>
        <w:spacing w:line="460" w:lineRule="exact"/>
        <w:ind w:firstLine="560"/>
        <w:rPr>
          <w:rFonts w:ascii="宋体" w:hAnsi="宋体" w:cs="仿宋_GB2312"/>
          <w:bCs/>
          <w:sz w:val="28"/>
          <w:szCs w:val="28"/>
        </w:rPr>
      </w:pPr>
      <w:r>
        <w:rPr>
          <w:rFonts w:hint="eastAsia" w:ascii="宋体" w:hAnsi="宋体" w:cs="仿宋_GB2312"/>
          <w:bCs/>
          <w:sz w:val="28"/>
          <w:szCs w:val="28"/>
        </w:rPr>
        <w:t>6、联合体各方均为小型、微型企业（残疾人福利单位、监狱企业）的，联合体享受上述同类价格扣除，用扣除后的价格参与评审。</w:t>
      </w:r>
    </w:p>
    <w:p w14:paraId="26713E9E">
      <w:pPr>
        <w:spacing w:line="460" w:lineRule="exact"/>
        <w:ind w:firstLine="560"/>
        <w:rPr>
          <w:rFonts w:ascii="宋体" w:hAnsi="宋体" w:cs="仿宋_GB2312"/>
          <w:bCs/>
          <w:sz w:val="28"/>
          <w:szCs w:val="28"/>
        </w:rPr>
      </w:pPr>
      <w:r>
        <w:rPr>
          <w:rFonts w:hint="eastAsia" w:ascii="宋体" w:hAnsi="宋体" w:cs="仿宋_GB2312"/>
          <w:bCs/>
          <w:sz w:val="28"/>
          <w:szCs w:val="28"/>
        </w:rPr>
        <w:t>7、专门面向中小企业采购的项目或者采购包，不再执行价格评审优惠的扶持政策。</w:t>
      </w:r>
    </w:p>
    <w:p w14:paraId="732BDA72">
      <w:pPr>
        <w:spacing w:line="460" w:lineRule="exact"/>
        <w:ind w:firstLine="560"/>
        <w:rPr>
          <w:rFonts w:ascii="宋体" w:hAnsi="宋体" w:cs="仿宋_GB2312"/>
          <w:bCs/>
          <w:sz w:val="28"/>
          <w:szCs w:val="28"/>
        </w:rPr>
      </w:pPr>
      <w:r>
        <w:rPr>
          <w:rFonts w:hint="eastAsia" w:ascii="宋体" w:hAnsi="宋体" w:cs="仿宋_GB2312"/>
          <w:bCs/>
          <w:sz w:val="28"/>
          <w:szCs w:val="28"/>
        </w:rPr>
        <w:t>8、根据《江苏省政府采购信用管理暂行办法》的规定，供应商信用评价结果为三星的扣2分，评价结果为二星的扣3分，评价结果为一星的扣4分。</w:t>
      </w:r>
    </w:p>
    <w:p w14:paraId="71C7BB44">
      <w:pPr>
        <w:spacing w:line="500" w:lineRule="exact"/>
        <w:ind w:firstLine="562"/>
        <w:rPr>
          <w:rFonts w:hint="eastAsia" w:ascii="宋体" w:hAnsi="宋体" w:cs="宋体"/>
          <w:bCs/>
          <w:sz w:val="28"/>
          <w:szCs w:val="28"/>
        </w:rPr>
      </w:pPr>
      <w:r>
        <w:rPr>
          <w:rFonts w:hint="eastAsia" w:ascii="宋体" w:hAnsi="宋体" w:cs="宋体"/>
          <w:b/>
          <w:sz w:val="28"/>
          <w:szCs w:val="28"/>
        </w:rPr>
        <w:t>（六）成交供应商的确定</w:t>
      </w:r>
    </w:p>
    <w:p w14:paraId="34D3F753">
      <w:pPr>
        <w:spacing w:line="500" w:lineRule="exact"/>
        <w:ind w:firstLine="557"/>
        <w:rPr>
          <w:rFonts w:hint="eastAsia" w:ascii="宋体" w:hAnsi="宋体" w:cs="宋体"/>
          <w:sz w:val="28"/>
          <w:szCs w:val="28"/>
        </w:rPr>
      </w:pPr>
      <w:r>
        <w:rPr>
          <w:rFonts w:hint="eastAsia" w:ascii="宋体" w:hAnsi="宋体" w:cs="宋体"/>
          <w:sz w:val="28"/>
          <w:szCs w:val="28"/>
        </w:rPr>
        <w:t>评标委员会汇总各评委评分后，按照得分从高到低的顺序推荐一名中标候选人，并编写评标报告。</w:t>
      </w:r>
    </w:p>
    <w:p w14:paraId="76EB58F0">
      <w:pPr>
        <w:spacing w:line="500" w:lineRule="exact"/>
        <w:ind w:firstLine="557"/>
        <w:rPr>
          <w:rFonts w:hint="eastAsia" w:ascii="宋体" w:hAnsi="宋体" w:cs="宋体"/>
          <w:sz w:val="28"/>
          <w:szCs w:val="28"/>
        </w:rPr>
      </w:pPr>
      <w:r>
        <w:rPr>
          <w:rFonts w:hint="eastAsia" w:ascii="宋体" w:hAnsi="宋体" w:cs="宋体"/>
          <w:sz w:val="28"/>
          <w:szCs w:val="28"/>
        </w:rPr>
        <w:t>采购人应根据评标委员会推荐的中标候选人确定中标人。若总得分者有相同时，则投标报价较低者排名优先，均相同时则通过抽签方式随机确定中标候选人排序。</w:t>
      </w:r>
    </w:p>
    <w:p w14:paraId="6A8CBC1A">
      <w:pPr>
        <w:spacing w:line="500" w:lineRule="exact"/>
        <w:ind w:firstLine="557"/>
        <w:rPr>
          <w:rFonts w:hint="eastAsia" w:ascii="宋体" w:hAnsi="宋体" w:cs="宋体"/>
          <w:sz w:val="28"/>
          <w:szCs w:val="28"/>
        </w:rPr>
      </w:pPr>
      <w:r>
        <w:rPr>
          <w:rFonts w:hint="eastAsia" w:ascii="宋体" w:hAnsi="宋体" w:cs="宋体"/>
          <w:sz w:val="28"/>
          <w:szCs w:val="28"/>
        </w:rPr>
        <w:t>本项目第一成交候选人原则上为成交供应商。当排名第一的成交候选人毁标或在成交结果公示期间被查证确实存在影响成交结果的违法违规行为等情形，不符合成交条件的，并记不良记录一次，同时，采购人依法重新采购。</w:t>
      </w:r>
    </w:p>
    <w:p w14:paraId="14F52CA5">
      <w:pPr>
        <w:spacing w:line="500" w:lineRule="exact"/>
        <w:ind w:firstLine="557"/>
        <w:rPr>
          <w:rFonts w:hint="eastAsia" w:ascii="宋体" w:hAnsi="宋体" w:cs="宋体"/>
          <w:b/>
          <w:sz w:val="28"/>
          <w:szCs w:val="28"/>
        </w:rPr>
      </w:pPr>
      <w:r>
        <w:rPr>
          <w:rFonts w:hint="eastAsia" w:ascii="宋体" w:hAnsi="宋体" w:cs="宋体"/>
          <w:b/>
          <w:sz w:val="28"/>
          <w:szCs w:val="28"/>
        </w:rPr>
        <w:t>（</w:t>
      </w:r>
      <w:r>
        <w:rPr>
          <w:rFonts w:hint="eastAsia" w:ascii="宋体" w:hAnsi="宋体" w:cs="宋体"/>
          <w:b/>
          <w:sz w:val="28"/>
          <w:szCs w:val="28"/>
          <w:lang w:val="en-US" w:eastAsia="zh-CN"/>
        </w:rPr>
        <w:t>七</w:t>
      </w:r>
      <w:r>
        <w:rPr>
          <w:rFonts w:hint="eastAsia" w:ascii="宋体" w:hAnsi="宋体" w:cs="宋体"/>
          <w:b/>
          <w:sz w:val="28"/>
          <w:szCs w:val="28"/>
        </w:rPr>
        <w:t>）采购人代表宣布评审结果。</w:t>
      </w:r>
    </w:p>
    <w:p w14:paraId="429FF199">
      <w:pPr>
        <w:spacing w:line="500" w:lineRule="exact"/>
        <w:ind w:firstLine="562"/>
        <w:rPr>
          <w:rFonts w:hint="eastAsia" w:ascii="宋体" w:hAnsi="宋体" w:cs="宋体"/>
          <w:b/>
          <w:sz w:val="28"/>
          <w:szCs w:val="28"/>
        </w:rPr>
      </w:pPr>
      <w:r>
        <w:rPr>
          <w:rFonts w:hint="eastAsia" w:ascii="宋体" w:hAnsi="宋体" w:cs="宋体"/>
          <w:b/>
          <w:sz w:val="28"/>
          <w:szCs w:val="28"/>
        </w:rPr>
        <w:t>（</w:t>
      </w:r>
      <w:r>
        <w:rPr>
          <w:rFonts w:hint="eastAsia" w:ascii="宋体" w:hAnsi="宋体" w:cs="宋体"/>
          <w:b/>
          <w:sz w:val="28"/>
          <w:szCs w:val="28"/>
          <w:lang w:val="en-US" w:eastAsia="zh-CN"/>
        </w:rPr>
        <w:t>八</w:t>
      </w:r>
      <w:r>
        <w:rPr>
          <w:rFonts w:hint="eastAsia" w:ascii="宋体" w:hAnsi="宋体" w:cs="宋体"/>
          <w:b/>
          <w:sz w:val="28"/>
          <w:szCs w:val="28"/>
        </w:rPr>
        <w:t>）公告成交结果</w:t>
      </w:r>
    </w:p>
    <w:p w14:paraId="74076F44">
      <w:pPr>
        <w:spacing w:line="500" w:lineRule="exact"/>
        <w:ind w:firstLine="570"/>
        <w:rPr>
          <w:rFonts w:hint="eastAsia" w:ascii="宋体" w:hAnsi="宋体" w:cs="宋体"/>
          <w:sz w:val="28"/>
          <w:szCs w:val="28"/>
        </w:rPr>
      </w:pPr>
      <w:r>
        <w:rPr>
          <w:rFonts w:hint="eastAsia" w:ascii="宋体" w:hAnsi="宋体" w:cs="宋体"/>
          <w:sz w:val="28"/>
          <w:szCs w:val="28"/>
        </w:rPr>
        <w:t>自确定成交供应商之日起2个工作日内，在</w:t>
      </w:r>
      <w:r>
        <w:rPr>
          <w:rFonts w:hint="eastAsia" w:ascii="宋体" w:hAnsi="宋体" w:cs="宋体"/>
          <w:sz w:val="28"/>
          <w:szCs w:val="28"/>
          <w:lang w:val="en-US" w:eastAsia="zh-CN"/>
        </w:rPr>
        <w:t>启东市人民政府网</w:t>
      </w:r>
      <w:r>
        <w:rPr>
          <w:rFonts w:hint="eastAsia" w:ascii="宋体" w:hAnsi="宋体" w:cs="宋体"/>
          <w:sz w:val="28"/>
          <w:szCs w:val="28"/>
        </w:rPr>
        <w:t>公告成交结果</w:t>
      </w:r>
      <w:r>
        <w:rPr>
          <w:rFonts w:hint="eastAsia" w:ascii="宋体" w:hAnsi="宋体" w:cs="宋体"/>
          <w:sz w:val="28"/>
          <w:szCs w:val="28"/>
          <w:lang w:val="en-US" w:eastAsia="zh-CN"/>
        </w:rPr>
        <w:t>公告</w:t>
      </w:r>
      <w:r>
        <w:rPr>
          <w:rFonts w:hint="eastAsia" w:ascii="宋体" w:hAnsi="宋体" w:cs="宋体"/>
          <w:sz w:val="28"/>
          <w:szCs w:val="28"/>
        </w:rPr>
        <w:t>，公告期限为1个工作日。</w:t>
      </w:r>
    </w:p>
    <w:p w14:paraId="54FA3E6E">
      <w:pPr>
        <w:spacing w:line="500" w:lineRule="exact"/>
        <w:ind w:firstLine="562"/>
        <w:rPr>
          <w:rFonts w:hint="eastAsia" w:ascii="宋体" w:hAnsi="宋体" w:cs="宋体"/>
          <w:b/>
          <w:bCs/>
          <w:sz w:val="28"/>
          <w:szCs w:val="28"/>
        </w:rPr>
      </w:pPr>
      <w:r>
        <w:rPr>
          <w:rFonts w:hint="eastAsia" w:ascii="宋体" w:hAnsi="宋体" w:cs="宋体"/>
          <w:b/>
          <w:sz w:val="28"/>
          <w:szCs w:val="28"/>
        </w:rPr>
        <w:t>（</w:t>
      </w:r>
      <w:r>
        <w:rPr>
          <w:rFonts w:hint="eastAsia" w:ascii="宋体" w:hAnsi="宋体" w:cs="宋体"/>
          <w:b/>
          <w:sz w:val="28"/>
          <w:szCs w:val="28"/>
          <w:lang w:val="en-US" w:eastAsia="zh-CN"/>
        </w:rPr>
        <w:t>九</w:t>
      </w:r>
      <w:r>
        <w:rPr>
          <w:rFonts w:hint="eastAsia" w:ascii="宋体" w:hAnsi="宋体" w:cs="宋体"/>
          <w:b/>
          <w:sz w:val="28"/>
          <w:szCs w:val="28"/>
        </w:rPr>
        <w:t>）</w:t>
      </w:r>
      <w:r>
        <w:rPr>
          <w:rFonts w:hint="eastAsia" w:ascii="宋体" w:hAnsi="宋体" w:cs="宋体"/>
          <w:b/>
          <w:bCs/>
          <w:sz w:val="28"/>
          <w:szCs w:val="28"/>
        </w:rPr>
        <w:t>发放成交通知书</w:t>
      </w:r>
    </w:p>
    <w:p w14:paraId="04E5F1EE">
      <w:pPr>
        <w:spacing w:line="500" w:lineRule="exact"/>
        <w:ind w:firstLine="560"/>
        <w:rPr>
          <w:rFonts w:hint="eastAsia" w:ascii="宋体" w:hAnsi="宋体" w:cs="宋体"/>
          <w:bCs/>
          <w:sz w:val="28"/>
          <w:szCs w:val="28"/>
        </w:rPr>
      </w:pPr>
      <w:r>
        <w:rPr>
          <w:rFonts w:hint="eastAsia" w:ascii="宋体" w:hAnsi="宋体" w:cs="宋体"/>
          <w:sz w:val="28"/>
          <w:szCs w:val="28"/>
        </w:rPr>
        <w:t>公告成交结果的同时，采购人</w:t>
      </w:r>
      <w:r>
        <w:rPr>
          <w:rFonts w:hint="eastAsia" w:ascii="宋体" w:hAnsi="宋体" w:cs="宋体"/>
          <w:bCs/>
          <w:sz w:val="28"/>
          <w:szCs w:val="28"/>
        </w:rPr>
        <w:t>向成交供应商发放成交通知书。</w:t>
      </w:r>
    </w:p>
    <w:p w14:paraId="7DB27974">
      <w:pPr>
        <w:spacing w:line="500" w:lineRule="exact"/>
        <w:ind w:firstLine="560"/>
        <w:rPr>
          <w:rFonts w:hint="eastAsia" w:ascii="宋体" w:hAnsi="宋体" w:cs="宋体"/>
          <w:sz w:val="28"/>
          <w:szCs w:val="28"/>
        </w:rPr>
      </w:pPr>
      <w:r>
        <w:rPr>
          <w:rFonts w:hint="eastAsia" w:ascii="宋体" w:hAnsi="宋体" w:cs="宋体"/>
          <w:sz w:val="28"/>
          <w:szCs w:val="28"/>
        </w:rPr>
        <w:t>成交通知书发出后，采购人不得违法改变成交结果，成交供应商无正当理由不得放弃成交。</w:t>
      </w:r>
    </w:p>
    <w:p w14:paraId="0799C125">
      <w:pPr>
        <w:spacing w:line="500" w:lineRule="exact"/>
        <w:jc w:val="center"/>
        <w:outlineLvl w:val="0"/>
        <w:rPr>
          <w:rFonts w:hint="eastAsia" w:ascii="宋体" w:hAnsi="宋体" w:cs="宋体"/>
          <w:bCs/>
          <w:sz w:val="36"/>
          <w:szCs w:val="36"/>
        </w:rPr>
      </w:pPr>
      <w:r>
        <w:rPr>
          <w:rFonts w:hint="eastAsia" w:ascii="宋体" w:hAnsi="宋体" w:cs="宋体"/>
          <w:b/>
          <w:sz w:val="36"/>
          <w:szCs w:val="36"/>
        </w:rPr>
        <w:br w:type="page" w:clear="all"/>
      </w:r>
      <w:r>
        <w:rPr>
          <w:rFonts w:hint="eastAsia" w:ascii="宋体" w:hAnsi="宋体" w:cs="宋体"/>
          <w:bCs/>
          <w:sz w:val="36"/>
          <w:szCs w:val="36"/>
        </w:rPr>
        <w:t>第五部分  响应文件组成</w:t>
      </w:r>
    </w:p>
    <w:p w14:paraId="677052BA">
      <w:pPr>
        <w:spacing w:line="500" w:lineRule="exact"/>
        <w:ind w:firstLine="555"/>
        <w:jc w:val="left"/>
        <w:rPr>
          <w:rFonts w:hint="eastAsia" w:ascii="宋体" w:hAnsi="宋体" w:cs="宋体"/>
          <w:b/>
          <w:sz w:val="28"/>
          <w:szCs w:val="28"/>
        </w:rPr>
      </w:pPr>
      <w:r>
        <w:rPr>
          <w:rFonts w:hint="eastAsia" w:ascii="宋体" w:hAnsi="宋体" w:cs="宋体"/>
          <w:b/>
          <w:sz w:val="28"/>
          <w:szCs w:val="28"/>
        </w:rPr>
        <w:t>响应文件由资格审查证明材料、商务技术文件、价格文件三部分组成。</w:t>
      </w:r>
      <w:r>
        <w:rPr>
          <w:rFonts w:hint="eastAsia" w:ascii="宋体" w:hAnsi="宋体" w:cs="宋体"/>
          <w:b/>
          <w:bCs/>
          <w:sz w:val="28"/>
          <w:szCs w:val="28"/>
          <w:lang w:val="zh-CN"/>
        </w:rPr>
        <w:t>请供应商根据本磋商文件的要求在以上</w:t>
      </w:r>
      <w:r>
        <w:rPr>
          <w:rFonts w:hint="eastAsia" w:ascii="宋体" w:hAnsi="宋体" w:cs="宋体"/>
          <w:b/>
          <w:sz w:val="28"/>
          <w:szCs w:val="28"/>
        </w:rPr>
        <w:t>三部分中</w:t>
      </w:r>
      <w:r>
        <w:rPr>
          <w:rFonts w:hint="eastAsia" w:ascii="宋体" w:hAnsi="宋体" w:cs="宋体"/>
          <w:b/>
          <w:bCs/>
          <w:sz w:val="28"/>
          <w:szCs w:val="28"/>
          <w:lang w:val="zh-CN"/>
        </w:rPr>
        <w:t>分别</w:t>
      </w:r>
      <w:r>
        <w:rPr>
          <w:rFonts w:hint="eastAsia" w:ascii="宋体" w:hAnsi="宋体" w:cs="宋体"/>
          <w:b/>
          <w:bCs/>
          <w:sz w:val="28"/>
          <w:szCs w:val="28"/>
        </w:rPr>
        <w:t>提交</w:t>
      </w:r>
      <w:r>
        <w:rPr>
          <w:rFonts w:hint="eastAsia" w:ascii="宋体" w:hAnsi="宋体" w:cs="宋体"/>
          <w:b/>
          <w:bCs/>
          <w:sz w:val="28"/>
          <w:szCs w:val="28"/>
          <w:lang w:val="zh-CN"/>
        </w:rPr>
        <w:t>响应的材料。</w:t>
      </w:r>
    </w:p>
    <w:p w14:paraId="3C5F61B9">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cs="宋体"/>
          <w:b/>
          <w:bCs/>
          <w:sz w:val="28"/>
          <w:szCs w:val="28"/>
          <w:lang w:val="zh-CN"/>
        </w:rPr>
      </w:pPr>
      <w:r>
        <w:rPr>
          <w:rFonts w:hint="eastAsia" w:ascii="宋体" w:hAnsi="宋体" w:cs="宋体"/>
          <w:b/>
          <w:bCs/>
          <w:sz w:val="28"/>
          <w:szCs w:val="28"/>
          <w:lang w:val="zh-CN"/>
        </w:rPr>
        <w:t>一、资格审查证明材料（不能出现商务技术文件、价格文件）</w:t>
      </w:r>
    </w:p>
    <w:p w14:paraId="1074C11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sz w:val="28"/>
          <w:szCs w:val="28"/>
          <w:lang w:val="zh-CN"/>
        </w:rPr>
      </w:pPr>
      <w:r>
        <w:rPr>
          <w:rFonts w:hint="eastAsia" w:ascii="宋体" w:hAnsi="宋体" w:cs="宋体"/>
          <w:sz w:val="28"/>
          <w:szCs w:val="28"/>
          <w:lang w:val="zh-CN"/>
        </w:rPr>
        <w:t>1.</w:t>
      </w:r>
      <w:r>
        <w:rPr>
          <w:rFonts w:hint="eastAsia" w:ascii="宋体" w:hAnsi="宋体" w:cs="宋体"/>
          <w:sz w:val="28"/>
          <w:szCs w:val="28"/>
        </w:rPr>
        <w:t xml:space="preserve">投标人符合《中华人民共和国政府采购法》第二十二条规定条件的声明函 </w:t>
      </w:r>
      <w:r>
        <w:rPr>
          <w:rFonts w:hint="eastAsia" w:ascii="宋体" w:hAnsi="宋体" w:cs="宋体"/>
          <w:sz w:val="28"/>
          <w:szCs w:val="28"/>
          <w:lang w:val="zh-CN"/>
        </w:rPr>
        <w:t>（格式见附件1）（如分公司参加投标的，另需提供总公司的授权证明）；</w:t>
      </w:r>
    </w:p>
    <w:p w14:paraId="78BD2EF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sz w:val="28"/>
          <w:szCs w:val="28"/>
          <w:lang w:val="zh-CN"/>
        </w:rPr>
      </w:pPr>
      <w:r>
        <w:rPr>
          <w:rFonts w:hint="eastAsia" w:ascii="宋体" w:hAnsi="宋体" w:cs="宋体"/>
          <w:sz w:val="28"/>
          <w:szCs w:val="28"/>
        </w:rPr>
        <w:t>2</w:t>
      </w:r>
      <w:r>
        <w:rPr>
          <w:rFonts w:hint="eastAsia" w:ascii="宋体" w:hAnsi="宋体" w:cs="宋体"/>
          <w:sz w:val="28"/>
          <w:szCs w:val="28"/>
          <w:lang w:val="zh-CN"/>
        </w:rPr>
        <w:t>.法定代表人身份证明及法定代表人的身份证正反面复印件（格式见附件2）；</w:t>
      </w:r>
    </w:p>
    <w:p w14:paraId="6223247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sz w:val="28"/>
          <w:szCs w:val="28"/>
          <w:lang w:val="zh-CN"/>
        </w:rPr>
      </w:pPr>
      <w:r>
        <w:rPr>
          <w:rFonts w:hint="eastAsia" w:ascii="宋体" w:hAnsi="宋体" w:cs="宋体"/>
          <w:sz w:val="28"/>
          <w:szCs w:val="28"/>
        </w:rPr>
        <w:t>3</w:t>
      </w:r>
      <w:r>
        <w:rPr>
          <w:rFonts w:hint="eastAsia" w:ascii="宋体" w:hAnsi="宋体" w:cs="宋体"/>
          <w:sz w:val="28"/>
          <w:szCs w:val="28"/>
          <w:lang w:val="zh-CN"/>
        </w:rPr>
        <w:t>.法定代表人授权委托书原件，磋商代表本人身份证正反面复印件（格式见附件3，法定代表人参加的，无需提供授权委托书）；</w:t>
      </w:r>
    </w:p>
    <w:p w14:paraId="4B66EB7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sz w:val="28"/>
          <w:szCs w:val="28"/>
        </w:rPr>
      </w:pPr>
      <w:r>
        <w:rPr>
          <w:rFonts w:hint="eastAsia" w:ascii="宋体" w:hAnsi="宋体" w:cs="宋体"/>
          <w:sz w:val="28"/>
          <w:szCs w:val="28"/>
        </w:rPr>
        <w:t>4.提供合法有效的企业营业执照复印件（复印件加盖单位公章）；</w:t>
      </w:r>
    </w:p>
    <w:p w14:paraId="76BABF2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sz w:val="28"/>
          <w:szCs w:val="28"/>
        </w:rPr>
      </w:pPr>
      <w:r>
        <w:rPr>
          <w:rFonts w:hint="eastAsia" w:ascii="宋体" w:hAnsi="宋体" w:cs="宋体"/>
          <w:sz w:val="28"/>
          <w:szCs w:val="28"/>
        </w:rPr>
        <w:t>5.投标人提供</w:t>
      </w:r>
      <w:r>
        <w:rPr>
          <w:rFonts w:hint="eastAsia" w:ascii="宋体" w:hAnsi="宋体" w:cs="宋体"/>
          <w:sz w:val="28"/>
          <w:szCs w:val="28"/>
          <w:lang w:val="en-US" w:eastAsia="zh-CN"/>
        </w:rPr>
        <w:t>有效的</w:t>
      </w:r>
      <w:r>
        <w:rPr>
          <w:rFonts w:hint="eastAsia" w:ascii="宋体" w:hAnsi="宋体" w:cs="宋体"/>
          <w:sz w:val="28"/>
          <w:szCs w:val="28"/>
        </w:rPr>
        <w:t>公安部门颁发的《保安服务许可证》</w:t>
      </w:r>
      <w:r>
        <w:rPr>
          <w:rFonts w:hint="eastAsia" w:ascii="宋体" w:hAnsi="宋体" w:cs="宋体"/>
          <w:sz w:val="28"/>
          <w:szCs w:val="28"/>
          <w:lang w:val="en-US" w:eastAsia="zh-CN"/>
        </w:rPr>
        <w:t>复印件（复印件加盖单位公章）</w:t>
      </w:r>
      <w:r>
        <w:rPr>
          <w:rFonts w:hint="eastAsia" w:ascii="宋体" w:hAnsi="宋体" w:cs="宋体"/>
          <w:sz w:val="28"/>
          <w:szCs w:val="28"/>
        </w:rPr>
        <w:t>；</w:t>
      </w:r>
    </w:p>
    <w:p w14:paraId="74A22AC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sz w:val="28"/>
          <w:szCs w:val="28"/>
          <w:lang w:val="en-US" w:eastAsia="zh-CN"/>
        </w:rPr>
      </w:pPr>
      <w:r>
        <w:rPr>
          <w:rFonts w:hint="eastAsia" w:ascii="宋体" w:hAnsi="宋体" w:cs="宋体"/>
          <w:sz w:val="28"/>
          <w:szCs w:val="28"/>
          <w:lang w:val="en-US" w:eastAsia="zh-CN"/>
        </w:rPr>
        <w:t>6</w:t>
      </w:r>
      <w:r>
        <w:rPr>
          <w:rFonts w:hint="eastAsia" w:ascii="宋体" w:hAnsi="宋体" w:cs="宋体"/>
          <w:sz w:val="28"/>
          <w:szCs w:val="28"/>
        </w:rPr>
        <w:t>.</w:t>
      </w:r>
      <w:r>
        <w:rPr>
          <w:rFonts w:hint="eastAsia" w:ascii="宋体" w:hAnsi="宋体" w:cs="宋体"/>
          <w:sz w:val="28"/>
          <w:szCs w:val="28"/>
          <w:lang w:val="en-US" w:eastAsia="zh-CN"/>
        </w:rPr>
        <w:t>参加采购活动前三年内在经营活动中没有重大违法记录的书面声明（格式见附件4）；</w:t>
      </w:r>
    </w:p>
    <w:p w14:paraId="4F3B143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b/>
          <w:bCs/>
          <w:sz w:val="28"/>
          <w:szCs w:val="28"/>
          <w:lang w:val="zh-CN"/>
        </w:rPr>
      </w:pPr>
      <w:r>
        <w:rPr>
          <w:rFonts w:hint="eastAsia" w:ascii="宋体" w:hAnsi="宋体" w:cs="宋体"/>
          <w:b/>
          <w:bCs/>
          <w:sz w:val="28"/>
          <w:szCs w:val="28"/>
          <w:lang w:val="zh-CN"/>
        </w:rPr>
        <w:t>二、商务技术文件（不能出现价格文件）</w:t>
      </w:r>
    </w:p>
    <w:p w14:paraId="64E6C9FF">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bCs/>
          <w:sz w:val="28"/>
          <w:szCs w:val="28"/>
          <w:lang w:val="zh-CN"/>
        </w:rPr>
      </w:pPr>
      <w:r>
        <w:rPr>
          <w:rFonts w:hint="eastAsia" w:ascii="宋体" w:hAnsi="宋体" w:cs="宋体"/>
          <w:bCs/>
          <w:sz w:val="28"/>
          <w:szCs w:val="28"/>
          <w:lang w:val="zh-CN"/>
        </w:rPr>
        <w:t>1.供应商应根据本标书“磋商文件”中 第三部分“项目需求”，仔细阅读并在理解的基础上结合本项目第四部分“评审方法和评审标准”中评标办法的要求提供相应材料。</w:t>
      </w:r>
    </w:p>
    <w:p w14:paraId="26E893B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b/>
          <w:sz w:val="28"/>
          <w:szCs w:val="28"/>
          <w:lang w:val="zh-CN"/>
        </w:rPr>
      </w:pPr>
      <w:r>
        <w:rPr>
          <w:rFonts w:hint="eastAsia" w:ascii="宋体" w:hAnsi="宋体" w:cs="宋体"/>
          <w:b/>
          <w:sz w:val="28"/>
          <w:szCs w:val="28"/>
          <w:lang w:val="zh-CN"/>
        </w:rPr>
        <w:t>注：①商务技术文件所涉相关证明材料复印件均须加盖单位公章，否则将导致商务技术文件对应的评分项不得分。②为方便评委评审，请供应商严格按评审办法中所涉及的事项顺序进行编制，可以补充相关材料。</w:t>
      </w:r>
    </w:p>
    <w:p w14:paraId="5D34AEE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b/>
          <w:bCs/>
          <w:sz w:val="28"/>
          <w:szCs w:val="28"/>
          <w:lang w:val="zh-CN"/>
        </w:rPr>
      </w:pPr>
      <w:r>
        <w:rPr>
          <w:rFonts w:hint="eastAsia" w:ascii="宋体" w:hAnsi="宋体" w:cs="宋体"/>
          <w:b/>
          <w:bCs/>
          <w:sz w:val="28"/>
          <w:szCs w:val="28"/>
          <w:lang w:val="zh-CN"/>
        </w:rPr>
        <w:t>三、价格文件</w:t>
      </w:r>
    </w:p>
    <w:p w14:paraId="0E6F1ED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b/>
          <w:sz w:val="28"/>
          <w:szCs w:val="28"/>
          <w:lang w:val="zh-CN"/>
        </w:rPr>
      </w:pPr>
      <w:r>
        <w:rPr>
          <w:rFonts w:hint="eastAsia" w:ascii="宋体" w:hAnsi="宋体" w:cs="宋体"/>
          <w:sz w:val="28"/>
          <w:szCs w:val="28"/>
          <w:lang w:val="zh-CN"/>
        </w:rPr>
        <w:t>1.</w:t>
      </w:r>
      <w:r>
        <w:rPr>
          <w:rFonts w:hint="eastAsia" w:ascii="宋体" w:hAnsi="宋体" w:cs="宋体"/>
          <w:sz w:val="28"/>
          <w:szCs w:val="28"/>
        </w:rPr>
        <w:t>磋商响应报价表</w:t>
      </w:r>
      <w:r>
        <w:rPr>
          <w:rFonts w:hint="eastAsia" w:ascii="宋体" w:hAnsi="宋体" w:cs="宋体"/>
          <w:sz w:val="28"/>
          <w:szCs w:val="28"/>
          <w:lang w:val="zh-CN"/>
        </w:rPr>
        <w:t>（格式见附件</w:t>
      </w:r>
      <w:r>
        <w:rPr>
          <w:rFonts w:hint="eastAsia" w:ascii="宋体" w:hAnsi="宋体" w:cs="宋体"/>
          <w:sz w:val="28"/>
          <w:szCs w:val="28"/>
          <w:lang w:val="en-US" w:eastAsia="zh-CN"/>
        </w:rPr>
        <w:t>5</w:t>
      </w:r>
      <w:r>
        <w:rPr>
          <w:rFonts w:hint="eastAsia" w:ascii="宋体" w:hAnsi="宋体" w:cs="宋体"/>
          <w:sz w:val="28"/>
          <w:szCs w:val="28"/>
          <w:lang w:val="zh-CN"/>
        </w:rPr>
        <w:t xml:space="preserve">）； </w:t>
      </w:r>
    </w:p>
    <w:p w14:paraId="618D447F">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color w:val="000000"/>
          <w:sz w:val="28"/>
          <w:szCs w:val="28"/>
          <w:lang w:val="zh-CN"/>
        </w:rPr>
      </w:pPr>
      <w:r>
        <w:rPr>
          <w:rFonts w:hint="eastAsia" w:ascii="宋体" w:hAnsi="宋体" w:cs="宋体"/>
          <w:color w:val="000000"/>
          <w:sz w:val="28"/>
          <w:szCs w:val="28"/>
        </w:rPr>
        <w:t>2.磋商最终报价表</w:t>
      </w:r>
      <w:r>
        <w:rPr>
          <w:rFonts w:hint="eastAsia" w:ascii="宋体" w:hAnsi="宋体" w:cs="宋体"/>
          <w:color w:val="000000"/>
          <w:sz w:val="28"/>
          <w:szCs w:val="28"/>
          <w:lang w:val="zh-CN"/>
        </w:rPr>
        <w:t>（格式见附件</w:t>
      </w:r>
      <w:r>
        <w:rPr>
          <w:rFonts w:hint="eastAsia" w:ascii="宋体" w:hAnsi="宋体" w:cs="宋体"/>
          <w:color w:val="000000"/>
          <w:sz w:val="28"/>
          <w:szCs w:val="28"/>
          <w:lang w:val="en-US" w:eastAsia="zh-CN"/>
        </w:rPr>
        <w:t>6</w:t>
      </w:r>
      <w:r>
        <w:rPr>
          <w:rFonts w:hint="eastAsia" w:ascii="宋体" w:hAnsi="宋体" w:cs="宋体"/>
          <w:color w:val="000000"/>
          <w:sz w:val="28"/>
          <w:szCs w:val="28"/>
          <w:lang w:val="zh-CN"/>
        </w:rPr>
        <w:t>）；</w:t>
      </w:r>
    </w:p>
    <w:p w14:paraId="2DD4360F">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sz w:val="28"/>
          <w:szCs w:val="28"/>
          <w:lang w:val="zh-CN"/>
        </w:rPr>
      </w:pPr>
      <w:r>
        <w:rPr>
          <w:rFonts w:hint="eastAsia" w:ascii="宋体" w:hAnsi="宋体" w:cs="宋体"/>
          <w:sz w:val="28"/>
          <w:szCs w:val="28"/>
        </w:rPr>
        <w:t>3.</w:t>
      </w:r>
      <w:r>
        <w:rPr>
          <w:rFonts w:hint="eastAsia" w:ascii="宋体" w:hAnsi="宋体" w:cs="宋体"/>
          <w:sz w:val="28"/>
          <w:szCs w:val="28"/>
          <w:lang w:val="zh-CN"/>
        </w:rPr>
        <w:t>中小企业声明函、残疾人福利性单位声明函、监狱和戒毒企业证明材料</w:t>
      </w:r>
      <w:r>
        <w:rPr>
          <w:rFonts w:hint="eastAsia" w:ascii="宋体" w:hAnsi="宋体" w:cs="宋体"/>
          <w:sz w:val="28"/>
          <w:szCs w:val="28"/>
        </w:rPr>
        <w:t>(</w:t>
      </w:r>
      <w:r>
        <w:rPr>
          <w:rFonts w:hint="eastAsia" w:ascii="宋体" w:hAnsi="宋体" w:cs="宋体"/>
          <w:sz w:val="28"/>
          <w:szCs w:val="28"/>
          <w:lang w:val="zh-CN"/>
        </w:rPr>
        <w:t>格式见附件</w:t>
      </w:r>
      <w:r>
        <w:rPr>
          <w:rFonts w:hint="eastAsia" w:ascii="宋体" w:hAnsi="宋体" w:cs="宋体"/>
          <w:sz w:val="28"/>
          <w:szCs w:val="28"/>
          <w:lang w:val="en-US" w:eastAsia="zh-CN"/>
        </w:rPr>
        <w:t>7</w:t>
      </w:r>
      <w:r>
        <w:rPr>
          <w:rFonts w:hint="eastAsia" w:ascii="宋体" w:hAnsi="宋体" w:cs="宋体"/>
          <w:sz w:val="28"/>
          <w:szCs w:val="28"/>
        </w:rPr>
        <w:t>、</w:t>
      </w:r>
      <w:r>
        <w:rPr>
          <w:rFonts w:hint="eastAsia" w:ascii="宋体" w:hAnsi="宋体" w:cs="宋体"/>
          <w:sz w:val="28"/>
          <w:szCs w:val="28"/>
          <w:lang w:val="en-US" w:eastAsia="zh-CN"/>
        </w:rPr>
        <w:t>8</w:t>
      </w:r>
      <w:r>
        <w:rPr>
          <w:rFonts w:hint="eastAsia" w:ascii="宋体" w:hAnsi="宋体" w:cs="宋体"/>
          <w:sz w:val="28"/>
          <w:szCs w:val="28"/>
        </w:rPr>
        <w:t>、</w:t>
      </w:r>
      <w:r>
        <w:rPr>
          <w:rFonts w:hint="eastAsia" w:ascii="宋体" w:hAnsi="宋体" w:cs="宋体"/>
          <w:sz w:val="28"/>
          <w:szCs w:val="28"/>
          <w:lang w:val="en-US" w:eastAsia="zh-CN"/>
        </w:rPr>
        <w:t>9</w:t>
      </w:r>
      <w:r>
        <w:rPr>
          <w:rFonts w:hint="eastAsia" w:ascii="宋体" w:hAnsi="宋体" w:cs="宋体"/>
          <w:sz w:val="28"/>
          <w:szCs w:val="28"/>
        </w:rPr>
        <w:t>)</w:t>
      </w:r>
    </w:p>
    <w:p w14:paraId="4DC27349">
      <w:pPr>
        <w:spacing w:line="490" w:lineRule="exact"/>
        <w:rPr>
          <w:rFonts w:ascii="宋体" w:hAnsi="宋体" w:cs="宋体"/>
          <w:color w:val="000000"/>
          <w:sz w:val="28"/>
          <w:szCs w:val="28"/>
          <w:lang w:val="zh-CN"/>
        </w:rPr>
      </w:pPr>
    </w:p>
    <w:p w14:paraId="53197E26">
      <w:pPr>
        <w:spacing w:line="400" w:lineRule="exact"/>
        <w:contextualSpacing/>
        <w:rPr>
          <w:rFonts w:hint="eastAsia" w:ascii="宋体" w:hAnsi="宋体" w:cs="宋体"/>
          <w:sz w:val="32"/>
          <w:szCs w:val="32"/>
          <w:lang w:val="zh-CN"/>
        </w:rPr>
      </w:pPr>
      <w:r>
        <w:rPr>
          <w:rFonts w:hint="eastAsia" w:ascii="宋体" w:hAnsi="宋体" w:cs="宋体"/>
          <w:sz w:val="32"/>
          <w:szCs w:val="32"/>
          <w:lang w:val="zh-CN"/>
        </w:rPr>
        <w:br w:type="page" w:clear="all"/>
      </w:r>
      <w:r>
        <w:rPr>
          <w:rFonts w:hint="eastAsia" w:ascii="宋体" w:hAnsi="宋体" w:cs="宋体"/>
          <w:sz w:val="32"/>
          <w:szCs w:val="32"/>
          <w:lang w:val="zh-CN"/>
        </w:rPr>
        <w:t>附件1</w:t>
      </w:r>
    </w:p>
    <w:p w14:paraId="10A7850C">
      <w:pPr>
        <w:pStyle w:val="205"/>
        <w:rPr>
          <w:rFonts w:hint="eastAsia" w:ascii="宋体" w:hAnsi="宋体" w:cs="宋体"/>
          <w:lang w:val="zh-CN"/>
        </w:rPr>
      </w:pPr>
    </w:p>
    <w:p w14:paraId="2D376CDA">
      <w:pPr>
        <w:spacing w:line="360" w:lineRule="auto"/>
        <w:jc w:val="center"/>
        <w:rPr>
          <w:rFonts w:hint="eastAsia" w:ascii="宋体" w:hAnsi="宋体" w:cs="宋体"/>
          <w:b/>
          <w:bCs/>
          <w:color w:val="000000"/>
          <w:sz w:val="44"/>
          <w:szCs w:val="44"/>
        </w:rPr>
      </w:pPr>
      <w:r>
        <w:rPr>
          <w:rFonts w:hint="eastAsia" w:ascii="宋体" w:hAnsi="宋体" w:cs="宋体"/>
          <w:b/>
          <w:color w:val="000000"/>
          <w:sz w:val="30"/>
          <w:szCs w:val="30"/>
        </w:rPr>
        <w:t>投标人符合《</w:t>
      </w:r>
      <w:r>
        <w:rPr>
          <w:rFonts w:hint="eastAsia" w:ascii="宋体" w:hAnsi="宋体" w:cs="宋体"/>
          <w:b/>
          <w:color w:val="000000"/>
          <w:sz w:val="30"/>
          <w:szCs w:val="30"/>
          <w:lang w:val="en-US" w:eastAsia="zh-CN"/>
        </w:rPr>
        <w:t>中华人民共和国</w:t>
      </w:r>
      <w:r>
        <w:rPr>
          <w:rFonts w:hint="eastAsia" w:ascii="宋体" w:hAnsi="宋体" w:cs="宋体"/>
          <w:b/>
          <w:color w:val="000000"/>
          <w:sz w:val="30"/>
          <w:szCs w:val="30"/>
        </w:rPr>
        <w:t>政府采购法》第二十二条规定条件的声明函</w:t>
      </w:r>
      <w:r>
        <w:rPr>
          <w:rFonts w:hint="eastAsia" w:ascii="宋体" w:hAnsi="宋体" w:cs="宋体"/>
          <w:b/>
          <w:bCs/>
          <w:color w:val="000000"/>
          <w:sz w:val="24"/>
          <w:szCs w:val="21"/>
        </w:rPr>
        <w:t xml:space="preserve">              </w:t>
      </w:r>
      <w:r>
        <w:rPr>
          <w:rFonts w:hint="eastAsia" w:ascii="宋体" w:hAnsi="宋体" w:cs="宋体"/>
          <w:b/>
          <w:bCs/>
          <w:color w:val="000000"/>
          <w:sz w:val="44"/>
          <w:szCs w:val="44"/>
        </w:rPr>
        <w:t xml:space="preserve">   </w:t>
      </w:r>
    </w:p>
    <w:p w14:paraId="5A986539">
      <w:pPr>
        <w:spacing w:line="520" w:lineRule="exact"/>
        <w:ind w:firstLine="480"/>
        <w:rPr>
          <w:rFonts w:hint="eastAsia" w:ascii="宋体" w:hAnsi="宋体" w:cs="宋体"/>
          <w:b/>
          <w:bCs/>
          <w:color w:val="000000"/>
          <w:sz w:val="24"/>
        </w:rPr>
      </w:pPr>
      <w:r>
        <w:rPr>
          <w:rFonts w:hint="eastAsia" w:ascii="宋体" w:hAnsi="宋体" w:cs="宋体"/>
          <w:bCs/>
          <w:color w:val="000000"/>
          <w:sz w:val="24"/>
        </w:rPr>
        <w:t>我单位参加</w:t>
      </w:r>
      <w:r>
        <w:rPr>
          <w:rFonts w:hint="eastAsia" w:ascii="宋体" w:hAnsi="宋体" w:cs="宋体"/>
          <w:bCs/>
          <w:color w:val="000000"/>
          <w:sz w:val="24"/>
          <w:szCs w:val="21"/>
          <w:u w:val="single"/>
        </w:rPr>
        <w:t>________________ _</w:t>
      </w:r>
      <w:r>
        <w:rPr>
          <w:rFonts w:hint="eastAsia" w:ascii="宋体" w:hAnsi="宋体" w:cs="宋体"/>
          <w:bCs/>
          <w:color w:val="000000"/>
          <w:sz w:val="24"/>
          <w:szCs w:val="21"/>
        </w:rPr>
        <w:t>（项目名称）投标活动。针对《中华人民共和国政府采购法》第二十二条规定做出如下声明：</w:t>
      </w:r>
    </w:p>
    <w:p w14:paraId="4B795BDF">
      <w:pPr>
        <w:spacing w:line="520" w:lineRule="exact"/>
        <w:ind w:firstLine="482"/>
        <w:rPr>
          <w:rFonts w:hint="eastAsia" w:ascii="宋体" w:hAnsi="宋体" w:cs="宋体"/>
          <w:color w:val="000000"/>
          <w:sz w:val="24"/>
        </w:rPr>
      </w:pPr>
      <w:r>
        <w:rPr>
          <w:rFonts w:hint="eastAsia" w:ascii="宋体" w:hAnsi="宋体" w:cs="宋体"/>
          <w:bCs/>
          <w:color w:val="000000"/>
          <w:sz w:val="24"/>
          <w:szCs w:val="21"/>
        </w:rPr>
        <w:t>1.我单位具有独立承担民事责任的能力；</w:t>
      </w:r>
    </w:p>
    <w:p w14:paraId="4D5152CD">
      <w:pPr>
        <w:spacing w:line="520" w:lineRule="exact"/>
        <w:ind w:firstLine="482"/>
        <w:rPr>
          <w:rFonts w:hint="eastAsia" w:ascii="宋体" w:hAnsi="宋体" w:cs="宋体"/>
          <w:color w:val="000000"/>
          <w:sz w:val="24"/>
        </w:rPr>
      </w:pPr>
      <w:r>
        <w:rPr>
          <w:rFonts w:hint="eastAsia" w:ascii="宋体" w:hAnsi="宋体" w:cs="宋体"/>
          <w:color w:val="000000"/>
          <w:sz w:val="24"/>
        </w:rPr>
        <w:t>2.我单位具有良好的商业信誉和健全的财务会计制度；</w:t>
      </w:r>
    </w:p>
    <w:p w14:paraId="2FC7D154">
      <w:pPr>
        <w:spacing w:line="520" w:lineRule="exact"/>
        <w:ind w:firstLine="482"/>
        <w:rPr>
          <w:rFonts w:hint="eastAsia" w:ascii="宋体" w:hAnsi="宋体" w:cs="宋体"/>
          <w:color w:val="000000"/>
          <w:sz w:val="24"/>
        </w:rPr>
      </w:pPr>
      <w:r>
        <w:rPr>
          <w:rFonts w:hint="eastAsia" w:ascii="宋体" w:hAnsi="宋体" w:cs="宋体"/>
          <w:color w:val="000000"/>
          <w:sz w:val="24"/>
        </w:rPr>
        <w:t>3.我单位具有履行合同所必需的设备和专业技术能力；</w:t>
      </w:r>
    </w:p>
    <w:p w14:paraId="0A44B86B">
      <w:pPr>
        <w:spacing w:line="520" w:lineRule="exact"/>
        <w:ind w:firstLine="482"/>
        <w:rPr>
          <w:rFonts w:hint="eastAsia" w:ascii="宋体" w:hAnsi="宋体" w:cs="宋体"/>
          <w:color w:val="000000"/>
          <w:sz w:val="24"/>
        </w:rPr>
      </w:pPr>
      <w:r>
        <w:rPr>
          <w:rFonts w:hint="eastAsia" w:ascii="宋体" w:hAnsi="宋体" w:cs="宋体"/>
          <w:color w:val="000000"/>
          <w:sz w:val="24"/>
        </w:rPr>
        <w:t>4.我单位有依法缴纳税收和社会保障资金的良好记录；</w:t>
      </w:r>
    </w:p>
    <w:p w14:paraId="6DE917C3">
      <w:pPr>
        <w:spacing w:line="520" w:lineRule="exact"/>
        <w:ind w:firstLine="482"/>
        <w:rPr>
          <w:rFonts w:hint="eastAsia" w:ascii="宋体" w:hAnsi="宋体" w:cs="宋体"/>
          <w:color w:val="000000"/>
          <w:sz w:val="24"/>
        </w:rPr>
      </w:pPr>
      <w:r>
        <w:rPr>
          <w:rFonts w:hint="eastAsia" w:ascii="宋体" w:hAnsi="宋体" w:cs="宋体"/>
          <w:color w:val="000000"/>
          <w:sz w:val="24"/>
        </w:rPr>
        <w:t>5.我单位参加政府采购活动前三年内，在经营活动中没有重大违法记录；（1.供应商在参加政府采购活动前三年内因违法经营被禁止在一定期限内参加政府采购活动，期限届满的，可以参加政府采购活动。2.《中华人民共和国政府采购法实施条例》第十九条第一款规定的“较大数额罚款”认定为200万元以上的罚款，法律、行政法规以及国务院有关部门明确规定相关领域“较大数额罚款”标准高于200万元的，从其规定。）</w:t>
      </w:r>
    </w:p>
    <w:p w14:paraId="0328E728">
      <w:pPr>
        <w:spacing w:line="520" w:lineRule="exact"/>
        <w:ind w:firstLine="482"/>
        <w:rPr>
          <w:rFonts w:hint="eastAsia" w:ascii="宋体" w:hAnsi="宋体" w:cs="宋体"/>
          <w:color w:val="000000"/>
          <w:sz w:val="24"/>
        </w:rPr>
      </w:pPr>
      <w:r>
        <w:rPr>
          <w:rFonts w:hint="eastAsia" w:ascii="宋体" w:hAnsi="宋体" w:cs="宋体"/>
          <w:color w:val="000000"/>
          <w:sz w:val="24"/>
        </w:rPr>
        <w:t>6.我单位满足法律、行政法规规定的其他条件。</w:t>
      </w:r>
    </w:p>
    <w:p w14:paraId="2CE5DFCC">
      <w:pPr>
        <w:spacing w:line="500" w:lineRule="exact"/>
        <w:ind w:firstLine="482"/>
        <w:rPr>
          <w:rFonts w:hint="eastAsia" w:ascii="宋体" w:hAnsi="宋体" w:cs="宋体"/>
          <w:color w:val="000000"/>
          <w:sz w:val="24"/>
        </w:rPr>
      </w:pPr>
    </w:p>
    <w:p w14:paraId="36A4B675">
      <w:pPr>
        <w:spacing w:line="500" w:lineRule="exact"/>
        <w:rPr>
          <w:rFonts w:hint="eastAsia" w:ascii="宋体" w:hAnsi="宋体" w:cs="宋体"/>
          <w:color w:val="000000"/>
          <w:sz w:val="24"/>
        </w:rPr>
      </w:pPr>
    </w:p>
    <w:p w14:paraId="5E35BEAE">
      <w:pPr>
        <w:spacing w:line="500" w:lineRule="exact"/>
        <w:rPr>
          <w:rFonts w:hint="eastAsia" w:ascii="宋体" w:hAnsi="宋体" w:cs="宋体"/>
          <w:bCs/>
          <w:color w:val="000000"/>
          <w:sz w:val="24"/>
          <w:szCs w:val="21"/>
        </w:rPr>
      </w:pPr>
    </w:p>
    <w:p w14:paraId="7A54928B">
      <w:pPr>
        <w:spacing w:line="500" w:lineRule="exact"/>
        <w:rPr>
          <w:rFonts w:hint="eastAsia" w:ascii="宋体" w:hAnsi="宋体" w:cs="宋体"/>
          <w:bCs/>
          <w:color w:val="000000"/>
          <w:sz w:val="24"/>
          <w:szCs w:val="21"/>
        </w:rPr>
      </w:pPr>
    </w:p>
    <w:p w14:paraId="690B95AA">
      <w:pPr>
        <w:spacing w:line="500" w:lineRule="exact"/>
        <w:rPr>
          <w:rFonts w:hint="eastAsia" w:ascii="宋体" w:hAnsi="宋体" w:cs="宋体"/>
          <w:bCs/>
          <w:color w:val="000000"/>
          <w:sz w:val="24"/>
          <w:szCs w:val="21"/>
        </w:rPr>
      </w:pPr>
    </w:p>
    <w:p w14:paraId="02D70534">
      <w:pPr>
        <w:spacing w:line="460" w:lineRule="exact"/>
        <w:jc w:val="center"/>
        <w:rPr>
          <w:rFonts w:hint="eastAsia" w:ascii="宋体" w:hAnsi="宋体" w:cs="宋体"/>
          <w:bCs/>
          <w:color w:val="000000"/>
          <w:sz w:val="24"/>
          <w:szCs w:val="21"/>
        </w:rPr>
      </w:pPr>
      <w:r>
        <w:rPr>
          <w:rFonts w:hint="eastAsia" w:ascii="宋体" w:hAnsi="宋体" w:cs="宋体"/>
          <w:bCs/>
          <w:color w:val="000000"/>
          <w:sz w:val="24"/>
          <w:szCs w:val="21"/>
        </w:rPr>
        <w:t xml:space="preserve">                                             承诺人名称（公章）：</w:t>
      </w:r>
    </w:p>
    <w:p w14:paraId="16CED350">
      <w:pPr>
        <w:spacing w:line="460" w:lineRule="exact"/>
        <w:jc w:val="right"/>
        <w:rPr>
          <w:rFonts w:hint="eastAsia" w:ascii="宋体" w:hAnsi="宋体" w:cs="宋体"/>
          <w:bCs/>
          <w:color w:val="000000"/>
          <w:sz w:val="24"/>
          <w:szCs w:val="21"/>
        </w:rPr>
      </w:pPr>
      <w:r>
        <w:rPr>
          <w:rFonts w:hint="eastAsia" w:ascii="宋体" w:hAnsi="宋体" w:cs="宋体"/>
          <w:bCs/>
          <w:color w:val="000000"/>
          <w:sz w:val="24"/>
          <w:szCs w:val="21"/>
        </w:rPr>
        <w:t xml:space="preserve">    </w:t>
      </w:r>
    </w:p>
    <w:p w14:paraId="322F747D">
      <w:pPr>
        <w:spacing w:line="460" w:lineRule="exact"/>
        <w:jc w:val="right"/>
        <w:rPr>
          <w:rFonts w:hint="eastAsia" w:ascii="宋体" w:hAnsi="宋体" w:cs="宋体"/>
          <w:bCs/>
          <w:color w:val="000000"/>
          <w:sz w:val="24"/>
          <w:szCs w:val="21"/>
        </w:rPr>
      </w:pPr>
      <w:r>
        <w:rPr>
          <w:rFonts w:hint="eastAsia" w:ascii="宋体" w:hAnsi="宋体" w:cs="宋体"/>
          <w:bCs/>
          <w:color w:val="000000"/>
          <w:sz w:val="24"/>
          <w:szCs w:val="21"/>
        </w:rPr>
        <w:t xml:space="preserve">                                 日期：</w:t>
      </w:r>
      <w:r>
        <w:rPr>
          <w:rFonts w:hint="eastAsia" w:ascii="宋体" w:hAnsi="宋体" w:cs="宋体"/>
          <w:bCs/>
          <w:color w:val="000000"/>
          <w:sz w:val="24"/>
          <w:szCs w:val="21"/>
          <w:u w:val="single"/>
        </w:rPr>
        <w:t>______</w:t>
      </w:r>
      <w:r>
        <w:rPr>
          <w:rFonts w:hint="eastAsia" w:ascii="宋体" w:hAnsi="宋体" w:cs="宋体"/>
          <w:bCs/>
          <w:color w:val="000000"/>
          <w:sz w:val="24"/>
          <w:szCs w:val="21"/>
        </w:rPr>
        <w:t>年</w:t>
      </w:r>
      <w:r>
        <w:rPr>
          <w:rFonts w:hint="eastAsia" w:ascii="宋体" w:hAnsi="宋体" w:cs="宋体"/>
          <w:bCs/>
          <w:color w:val="000000"/>
          <w:sz w:val="24"/>
          <w:szCs w:val="21"/>
          <w:u w:val="single"/>
        </w:rPr>
        <w:t xml:space="preserve">    </w:t>
      </w:r>
      <w:r>
        <w:rPr>
          <w:rFonts w:hint="eastAsia" w:ascii="宋体" w:hAnsi="宋体" w:cs="宋体"/>
          <w:bCs/>
          <w:color w:val="000000"/>
          <w:sz w:val="24"/>
          <w:szCs w:val="21"/>
        </w:rPr>
        <w:t>月</w:t>
      </w:r>
      <w:r>
        <w:rPr>
          <w:rFonts w:hint="eastAsia" w:ascii="宋体" w:hAnsi="宋体" w:cs="宋体"/>
          <w:bCs/>
          <w:color w:val="000000"/>
          <w:sz w:val="24"/>
          <w:szCs w:val="21"/>
          <w:u w:val="single"/>
        </w:rPr>
        <w:t xml:space="preserve">    </w:t>
      </w:r>
      <w:r>
        <w:rPr>
          <w:rFonts w:hint="eastAsia" w:ascii="宋体" w:hAnsi="宋体" w:cs="宋体"/>
          <w:bCs/>
          <w:color w:val="000000"/>
          <w:sz w:val="24"/>
          <w:szCs w:val="21"/>
        </w:rPr>
        <w:t>日</w:t>
      </w:r>
    </w:p>
    <w:p w14:paraId="6CC0CE82">
      <w:pPr>
        <w:spacing w:line="400" w:lineRule="exact"/>
        <w:ind w:firstLine="540"/>
        <w:contextualSpacing/>
        <w:rPr>
          <w:rFonts w:hint="eastAsia" w:ascii="宋体" w:hAnsi="宋体" w:cs="宋体"/>
          <w:b/>
          <w:sz w:val="28"/>
          <w:szCs w:val="28"/>
        </w:rPr>
      </w:pPr>
    </w:p>
    <w:p w14:paraId="1AEBC59F">
      <w:pPr>
        <w:spacing w:line="400" w:lineRule="exact"/>
        <w:ind w:firstLine="540"/>
        <w:contextualSpacing/>
        <w:rPr>
          <w:rFonts w:hint="eastAsia" w:ascii="宋体" w:hAnsi="宋体" w:cs="宋体"/>
          <w:b/>
          <w:sz w:val="28"/>
          <w:szCs w:val="28"/>
          <w:lang w:val="zh-CN"/>
        </w:rPr>
      </w:pPr>
    </w:p>
    <w:p w14:paraId="49CB07D0">
      <w:pPr>
        <w:spacing w:line="400" w:lineRule="exact"/>
        <w:contextualSpacing/>
        <w:rPr>
          <w:rFonts w:hint="eastAsia" w:ascii="宋体" w:hAnsi="宋体" w:cs="宋体"/>
          <w:b/>
          <w:sz w:val="28"/>
          <w:szCs w:val="28"/>
          <w:lang w:val="zh-CN"/>
        </w:rPr>
      </w:pPr>
    </w:p>
    <w:p w14:paraId="0AAC98AC">
      <w:pPr>
        <w:spacing w:line="400" w:lineRule="exact"/>
        <w:ind w:firstLine="540"/>
        <w:contextualSpacing/>
        <w:rPr>
          <w:rFonts w:hint="eastAsia" w:ascii="宋体" w:hAnsi="宋体" w:cs="宋体"/>
          <w:b/>
          <w:sz w:val="28"/>
          <w:szCs w:val="28"/>
          <w:lang w:val="zh-CN"/>
        </w:rPr>
      </w:pPr>
    </w:p>
    <w:p w14:paraId="0093622E">
      <w:pPr>
        <w:spacing w:line="400" w:lineRule="exact"/>
        <w:contextualSpacing/>
        <w:rPr>
          <w:rFonts w:hint="eastAsia" w:ascii="宋体" w:hAnsi="宋体" w:cs="宋体"/>
          <w:sz w:val="32"/>
          <w:szCs w:val="32"/>
          <w:lang w:val="zh-CN"/>
        </w:rPr>
      </w:pPr>
      <w:r>
        <w:rPr>
          <w:rFonts w:hint="eastAsia" w:ascii="宋体" w:hAnsi="宋体" w:cs="宋体"/>
          <w:sz w:val="32"/>
          <w:szCs w:val="32"/>
          <w:lang w:val="zh-CN"/>
        </w:rPr>
        <w:t>附件2</w:t>
      </w:r>
    </w:p>
    <w:p w14:paraId="23C14E2F">
      <w:pPr>
        <w:spacing w:line="560" w:lineRule="exact"/>
        <w:jc w:val="center"/>
        <w:rPr>
          <w:rFonts w:hint="eastAsia" w:ascii="宋体" w:hAnsi="宋体" w:cs="宋体"/>
          <w:b/>
          <w:bCs/>
          <w:sz w:val="32"/>
          <w:szCs w:val="32"/>
        </w:rPr>
      </w:pPr>
      <w:r>
        <w:rPr>
          <w:rFonts w:hint="eastAsia" w:ascii="宋体" w:hAnsi="宋体" w:cs="宋体"/>
          <w:b/>
          <w:bCs/>
          <w:sz w:val="32"/>
          <w:szCs w:val="32"/>
        </w:rPr>
        <w:t>法定代表人身份证明</w:t>
      </w:r>
    </w:p>
    <w:p w14:paraId="64E8A81F">
      <w:pPr>
        <w:spacing w:line="480" w:lineRule="exact"/>
        <w:rPr>
          <w:rFonts w:hint="eastAsia" w:ascii="宋体" w:hAnsi="宋体" w:cs="宋体"/>
          <w:sz w:val="24"/>
        </w:rPr>
      </w:pPr>
    </w:p>
    <w:p w14:paraId="4227AB81">
      <w:pPr>
        <w:spacing w:line="480" w:lineRule="exact"/>
        <w:ind w:firstLine="480"/>
        <w:rPr>
          <w:rFonts w:hint="eastAsia" w:ascii="宋体" w:hAnsi="宋体" w:cs="宋体"/>
          <w:sz w:val="24"/>
          <w:u w:val="single"/>
        </w:rPr>
      </w:pPr>
      <w:r>
        <w:rPr>
          <w:rFonts w:hint="eastAsia" w:ascii="宋体" w:hAnsi="宋体" w:cs="宋体"/>
          <w:sz w:val="24"/>
          <w:u w:val="single"/>
        </w:rPr>
        <w:t xml:space="preserve">        </w:t>
      </w:r>
      <w:r>
        <w:rPr>
          <w:rFonts w:hint="eastAsia" w:ascii="宋体" w:hAnsi="宋体" w:cs="宋体"/>
          <w:sz w:val="24"/>
        </w:rPr>
        <w:t>先生/女士，身份证号码：</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u w:val="single"/>
        </w:rPr>
        <w:t xml:space="preserve">             </w:t>
      </w:r>
    </w:p>
    <w:p w14:paraId="6DF6AB68">
      <w:pPr>
        <w:spacing w:line="480" w:lineRule="exact"/>
        <w:ind w:firstLine="480"/>
        <w:rPr>
          <w:rFonts w:hint="eastAsia" w:ascii="宋体" w:hAnsi="宋体" w:cs="宋体"/>
          <w:sz w:val="24"/>
        </w:rPr>
      </w:pPr>
      <w:r>
        <w:rPr>
          <w:rFonts w:hint="eastAsia" w:ascii="宋体" w:hAnsi="宋体" w:cs="宋体"/>
          <w:sz w:val="24"/>
        </w:rPr>
        <w:t>现任我单位</w:t>
      </w:r>
      <w:r>
        <w:rPr>
          <w:rFonts w:hint="eastAsia" w:ascii="宋体" w:hAnsi="宋体" w:cs="宋体"/>
          <w:sz w:val="24"/>
          <w:u w:val="single"/>
        </w:rPr>
        <w:t xml:space="preserve">        </w:t>
      </w:r>
      <w:r>
        <w:rPr>
          <w:rFonts w:hint="eastAsia" w:ascii="宋体" w:hAnsi="宋体" w:cs="宋体"/>
          <w:sz w:val="24"/>
        </w:rPr>
        <w:t>职务，为法定代表人，特此证明。</w:t>
      </w:r>
    </w:p>
    <w:p w14:paraId="15D1586B">
      <w:pPr>
        <w:spacing w:line="480" w:lineRule="exact"/>
        <w:ind w:firstLine="480"/>
        <w:rPr>
          <w:rFonts w:hint="eastAsia" w:ascii="宋体" w:hAnsi="宋体" w:cs="宋体"/>
          <w:sz w:val="24"/>
        </w:rPr>
      </w:pPr>
    </w:p>
    <w:p w14:paraId="4985093A">
      <w:pPr>
        <w:spacing w:after="120"/>
        <w:rPr>
          <w:rFonts w:hint="eastAsia" w:ascii="宋体" w:hAnsi="宋体" w:cs="宋体"/>
          <w:szCs w:val="20"/>
        </w:rPr>
      </w:pPr>
    </w:p>
    <w:p w14:paraId="41C183AF">
      <w:pPr>
        <w:spacing w:line="480" w:lineRule="auto"/>
        <w:ind w:left="3255" w:firstLine="210"/>
        <w:rPr>
          <w:rFonts w:hint="eastAsia" w:ascii="宋体" w:hAnsi="宋体" w:cs="宋体"/>
          <w:sz w:val="24"/>
        </w:rPr>
      </w:pPr>
      <w:r>
        <w:rPr>
          <w:rFonts w:hint="eastAsia" w:ascii="宋体" w:hAnsi="宋体" w:cs="宋体"/>
        </w:rPr>
        <w:t xml:space="preserve">                                                 </w:t>
      </w:r>
      <w:r>
        <w:rPr>
          <w:rFonts w:hint="eastAsia" w:ascii="宋体" w:hAnsi="宋体" w:cs="宋体"/>
          <w:sz w:val="24"/>
        </w:rPr>
        <w:t>单位名称(盖公章)：</w:t>
      </w:r>
      <w:r>
        <w:rPr>
          <w:rFonts w:hint="eastAsia" w:ascii="宋体" w:hAnsi="宋体" w:cs="宋体"/>
          <w:sz w:val="24"/>
          <w:u w:val="single"/>
        </w:rPr>
        <w:t xml:space="preserve">               </w:t>
      </w:r>
      <w:r>
        <w:rPr>
          <w:rFonts w:hint="eastAsia" w:ascii="宋体" w:hAnsi="宋体" w:cs="宋体"/>
          <w:sz w:val="24"/>
        </w:rPr>
        <w:t xml:space="preserve">   </w:t>
      </w:r>
    </w:p>
    <w:p w14:paraId="4516A2F8">
      <w:pPr>
        <w:spacing w:line="480" w:lineRule="auto"/>
        <w:ind w:firstLine="3840"/>
        <w:rPr>
          <w:rFonts w:hint="eastAsia" w:ascii="宋体" w:hAnsi="宋体" w:cs="宋体"/>
          <w:sz w:val="24"/>
        </w:rPr>
      </w:pPr>
      <w:r>
        <w:rPr>
          <w:rFonts w:hint="eastAsia" w:ascii="宋体" w:hAnsi="宋体" w:cs="宋体"/>
          <w:sz w:val="24"/>
        </w:rPr>
        <w:t>日 期：     年   月   日</w:t>
      </w:r>
    </w:p>
    <w:p w14:paraId="1E6C978F">
      <w:pPr>
        <w:rPr>
          <w:rFonts w:hint="eastAsia" w:ascii="宋体" w:hAnsi="宋体" w:cs="宋体"/>
        </w:rPr>
      </w:pPr>
    </w:p>
    <w:p w14:paraId="0991AD81">
      <w:pPr>
        <w:widowControl/>
        <w:spacing w:line="360" w:lineRule="auto"/>
        <w:rPr>
          <w:rFonts w:hint="eastAsia" w:ascii="宋体" w:hAnsi="宋体" w:cs="宋体"/>
          <w:b/>
          <w:bCs/>
          <w:sz w:val="28"/>
          <w:szCs w:val="28"/>
        </w:rPr>
      </w:pPr>
      <w:r>
        <w:rPr>
          <w:rFonts w:hint="eastAsia" w:ascii="宋体" w:hAnsi="宋体" w:cs="宋体"/>
          <w:b/>
          <w:sz w:val="24"/>
        </w:rPr>
        <w:t>附：法定代表人的身份证正反面复印件盖单位公章</w:t>
      </w:r>
    </w:p>
    <w:p w14:paraId="256BE29D">
      <w:pPr>
        <w:spacing w:line="600" w:lineRule="exact"/>
        <w:rPr>
          <w:rFonts w:hint="eastAsia" w:ascii="宋体" w:hAnsi="宋体" w:cs="宋体"/>
          <w:b/>
          <w:sz w:val="24"/>
        </w:rPr>
      </w:pPr>
    </w:p>
    <w:p w14:paraId="0BA57422">
      <w:pPr>
        <w:spacing w:line="480" w:lineRule="exact"/>
        <w:ind w:firstLine="480"/>
        <w:rPr>
          <w:rFonts w:hint="eastAsia" w:ascii="宋体" w:hAnsi="宋体" w:cs="宋体"/>
          <w:sz w:val="24"/>
        </w:rPr>
      </w:pPr>
    </w:p>
    <w:p w14:paraId="3BD00FC6">
      <w:pPr>
        <w:rPr>
          <w:rFonts w:hint="eastAsia" w:ascii="宋体" w:hAnsi="宋体" w:cs="宋体"/>
        </w:rPr>
      </w:pPr>
    </w:p>
    <w:p w14:paraId="262976C5">
      <w:pPr>
        <w:spacing w:line="400" w:lineRule="exact"/>
        <w:ind w:firstLine="540"/>
        <w:contextualSpacing/>
        <w:rPr>
          <w:rFonts w:hint="eastAsia" w:ascii="宋体" w:hAnsi="宋体" w:cs="宋体"/>
          <w:b/>
          <w:sz w:val="28"/>
          <w:szCs w:val="28"/>
        </w:rPr>
      </w:pPr>
    </w:p>
    <w:p w14:paraId="21E4675A">
      <w:pPr>
        <w:spacing w:line="400" w:lineRule="exact"/>
        <w:ind w:firstLine="540"/>
        <w:contextualSpacing/>
        <w:rPr>
          <w:rFonts w:hint="eastAsia" w:ascii="宋体" w:hAnsi="宋体" w:cs="宋体"/>
          <w:b/>
          <w:sz w:val="28"/>
          <w:szCs w:val="28"/>
          <w:lang w:val="zh-CN"/>
        </w:rPr>
      </w:pPr>
    </w:p>
    <w:p w14:paraId="7E6B8D49">
      <w:pPr>
        <w:spacing w:line="400" w:lineRule="exact"/>
        <w:ind w:firstLine="540"/>
        <w:contextualSpacing/>
        <w:rPr>
          <w:rFonts w:hint="eastAsia" w:ascii="宋体" w:hAnsi="宋体" w:cs="宋体"/>
          <w:b/>
          <w:sz w:val="28"/>
          <w:szCs w:val="28"/>
          <w:lang w:val="zh-CN"/>
        </w:rPr>
      </w:pPr>
    </w:p>
    <w:p w14:paraId="5906C12E">
      <w:pPr>
        <w:spacing w:line="400" w:lineRule="exact"/>
        <w:ind w:firstLine="540"/>
        <w:contextualSpacing/>
        <w:rPr>
          <w:rFonts w:hint="eastAsia" w:ascii="宋体" w:hAnsi="宋体" w:cs="宋体"/>
          <w:b/>
          <w:sz w:val="28"/>
          <w:szCs w:val="28"/>
          <w:lang w:val="zh-CN"/>
        </w:rPr>
      </w:pPr>
    </w:p>
    <w:p w14:paraId="77C649D1">
      <w:pPr>
        <w:spacing w:line="400" w:lineRule="exact"/>
        <w:ind w:firstLine="540"/>
        <w:contextualSpacing/>
        <w:rPr>
          <w:rFonts w:hint="eastAsia" w:ascii="宋体" w:hAnsi="宋体" w:cs="宋体"/>
          <w:b/>
          <w:sz w:val="28"/>
          <w:szCs w:val="28"/>
          <w:lang w:val="zh-CN"/>
        </w:rPr>
      </w:pPr>
    </w:p>
    <w:p w14:paraId="4556D3FD">
      <w:pPr>
        <w:spacing w:line="400" w:lineRule="exact"/>
        <w:ind w:firstLine="540"/>
        <w:contextualSpacing/>
        <w:rPr>
          <w:rFonts w:hint="eastAsia" w:ascii="宋体" w:hAnsi="宋体" w:cs="宋体"/>
          <w:b/>
          <w:sz w:val="28"/>
          <w:szCs w:val="28"/>
          <w:lang w:val="zh-CN"/>
        </w:rPr>
      </w:pPr>
    </w:p>
    <w:p w14:paraId="1C512D75">
      <w:pPr>
        <w:spacing w:line="400" w:lineRule="exact"/>
        <w:ind w:firstLine="540"/>
        <w:contextualSpacing/>
        <w:rPr>
          <w:rFonts w:hint="eastAsia" w:ascii="宋体" w:hAnsi="宋体" w:cs="宋体"/>
          <w:b/>
          <w:sz w:val="28"/>
          <w:szCs w:val="28"/>
          <w:lang w:val="zh-CN"/>
        </w:rPr>
      </w:pPr>
    </w:p>
    <w:p w14:paraId="7957829C">
      <w:pPr>
        <w:spacing w:line="400" w:lineRule="exact"/>
        <w:ind w:firstLine="540"/>
        <w:contextualSpacing/>
        <w:rPr>
          <w:rFonts w:hint="eastAsia" w:ascii="宋体" w:hAnsi="宋体" w:cs="宋体"/>
          <w:b/>
          <w:sz w:val="28"/>
          <w:szCs w:val="28"/>
          <w:lang w:val="zh-CN"/>
        </w:rPr>
      </w:pPr>
    </w:p>
    <w:p w14:paraId="164A4BC9">
      <w:pPr>
        <w:spacing w:line="400" w:lineRule="exact"/>
        <w:ind w:firstLine="540"/>
        <w:contextualSpacing/>
        <w:rPr>
          <w:rFonts w:hint="eastAsia" w:ascii="宋体" w:hAnsi="宋体" w:cs="宋体"/>
          <w:b/>
          <w:sz w:val="28"/>
          <w:szCs w:val="28"/>
          <w:lang w:val="zh-CN"/>
        </w:rPr>
      </w:pPr>
    </w:p>
    <w:p w14:paraId="412114EB">
      <w:pPr>
        <w:spacing w:line="400" w:lineRule="exact"/>
        <w:ind w:firstLine="540"/>
        <w:contextualSpacing/>
        <w:rPr>
          <w:rFonts w:hint="eastAsia" w:ascii="宋体" w:hAnsi="宋体" w:cs="宋体"/>
          <w:b/>
          <w:sz w:val="28"/>
          <w:szCs w:val="28"/>
          <w:lang w:val="zh-CN"/>
        </w:rPr>
      </w:pPr>
    </w:p>
    <w:p w14:paraId="0E94FC4B">
      <w:pPr>
        <w:spacing w:line="400" w:lineRule="exact"/>
        <w:ind w:firstLine="540"/>
        <w:contextualSpacing/>
        <w:rPr>
          <w:rFonts w:hint="eastAsia" w:ascii="宋体" w:hAnsi="宋体" w:cs="宋体"/>
          <w:b/>
          <w:sz w:val="28"/>
          <w:szCs w:val="28"/>
          <w:lang w:val="zh-CN"/>
        </w:rPr>
      </w:pPr>
    </w:p>
    <w:p w14:paraId="3EF34AD9">
      <w:pPr>
        <w:spacing w:line="400" w:lineRule="exact"/>
        <w:ind w:firstLine="540"/>
        <w:contextualSpacing/>
        <w:rPr>
          <w:rFonts w:hint="eastAsia" w:ascii="宋体" w:hAnsi="宋体" w:cs="宋体"/>
          <w:b/>
          <w:sz w:val="28"/>
          <w:szCs w:val="28"/>
          <w:lang w:val="zh-CN"/>
        </w:rPr>
      </w:pPr>
    </w:p>
    <w:p w14:paraId="3FF0E74F">
      <w:pPr>
        <w:spacing w:line="400" w:lineRule="exact"/>
        <w:ind w:firstLine="540"/>
        <w:contextualSpacing/>
        <w:rPr>
          <w:rFonts w:hint="eastAsia" w:ascii="宋体" w:hAnsi="宋体" w:cs="宋体"/>
          <w:b/>
          <w:sz w:val="28"/>
          <w:szCs w:val="28"/>
          <w:lang w:val="zh-CN"/>
        </w:rPr>
      </w:pPr>
    </w:p>
    <w:p w14:paraId="6E6DA8FE">
      <w:pPr>
        <w:spacing w:line="400" w:lineRule="exact"/>
        <w:ind w:firstLine="540"/>
        <w:contextualSpacing/>
        <w:rPr>
          <w:rFonts w:hint="eastAsia" w:ascii="宋体" w:hAnsi="宋体" w:cs="宋体"/>
          <w:b/>
          <w:sz w:val="28"/>
          <w:szCs w:val="28"/>
          <w:lang w:val="zh-CN"/>
        </w:rPr>
      </w:pPr>
    </w:p>
    <w:p w14:paraId="778F24E7">
      <w:pPr>
        <w:spacing w:line="400" w:lineRule="exact"/>
        <w:ind w:firstLine="540"/>
        <w:contextualSpacing/>
        <w:rPr>
          <w:rFonts w:hint="eastAsia" w:ascii="宋体" w:hAnsi="宋体" w:cs="宋体"/>
          <w:b/>
          <w:sz w:val="28"/>
          <w:szCs w:val="28"/>
          <w:lang w:val="zh-CN"/>
        </w:rPr>
      </w:pPr>
    </w:p>
    <w:p w14:paraId="2D38E561">
      <w:pPr>
        <w:spacing w:line="400" w:lineRule="exact"/>
        <w:ind w:firstLine="540"/>
        <w:contextualSpacing/>
        <w:rPr>
          <w:rFonts w:hint="eastAsia" w:ascii="宋体" w:hAnsi="宋体" w:cs="宋体"/>
          <w:b/>
          <w:sz w:val="28"/>
          <w:szCs w:val="28"/>
          <w:lang w:val="zh-CN"/>
        </w:rPr>
      </w:pPr>
    </w:p>
    <w:p w14:paraId="2750D47B">
      <w:pPr>
        <w:spacing w:line="400" w:lineRule="exact"/>
        <w:contextualSpacing/>
        <w:rPr>
          <w:rFonts w:hint="eastAsia" w:ascii="宋体" w:hAnsi="宋体" w:cs="宋体"/>
          <w:sz w:val="32"/>
          <w:szCs w:val="32"/>
          <w:lang w:val="zh-CN"/>
        </w:rPr>
      </w:pPr>
    </w:p>
    <w:p w14:paraId="758838AD">
      <w:pPr>
        <w:spacing w:line="400" w:lineRule="exact"/>
        <w:contextualSpacing/>
        <w:rPr>
          <w:rFonts w:hint="eastAsia" w:ascii="宋体" w:hAnsi="宋体" w:cs="宋体"/>
          <w:sz w:val="32"/>
          <w:szCs w:val="32"/>
          <w:lang w:val="zh-CN"/>
        </w:rPr>
      </w:pPr>
      <w:r>
        <w:rPr>
          <w:rFonts w:hint="eastAsia" w:ascii="宋体" w:hAnsi="宋体" w:cs="宋体"/>
          <w:sz w:val="32"/>
          <w:szCs w:val="32"/>
          <w:lang w:val="zh-CN"/>
        </w:rPr>
        <w:t>附件3</w:t>
      </w:r>
    </w:p>
    <w:p w14:paraId="4BA94949">
      <w:pPr>
        <w:jc w:val="center"/>
        <w:rPr>
          <w:rFonts w:hint="eastAsia" w:ascii="宋体" w:hAnsi="宋体" w:cs="宋体"/>
          <w:sz w:val="32"/>
          <w:szCs w:val="32"/>
        </w:rPr>
      </w:pPr>
      <w:r>
        <w:rPr>
          <w:rFonts w:hint="eastAsia" w:ascii="宋体" w:hAnsi="宋体" w:cs="宋体"/>
          <w:sz w:val="32"/>
          <w:szCs w:val="32"/>
        </w:rPr>
        <w:t>法定代表人授权委托书</w:t>
      </w:r>
    </w:p>
    <w:p w14:paraId="5CF04ADB">
      <w:pPr>
        <w:rPr>
          <w:rFonts w:hint="eastAsia" w:ascii="宋体" w:hAnsi="宋体" w:cs="宋体"/>
          <w:sz w:val="32"/>
          <w:szCs w:val="32"/>
        </w:rPr>
      </w:pPr>
    </w:p>
    <w:p w14:paraId="12952A66">
      <w:pPr>
        <w:spacing w:line="460" w:lineRule="exact"/>
        <w:ind w:firstLine="560"/>
        <w:rPr>
          <w:rFonts w:hint="eastAsia" w:ascii="宋体" w:hAnsi="宋体" w:cs="宋体"/>
          <w:sz w:val="28"/>
          <w:szCs w:val="28"/>
        </w:rPr>
      </w:pPr>
      <w:r>
        <w:rPr>
          <w:rFonts w:hint="eastAsia" w:ascii="宋体" w:hAnsi="宋体" w:cs="宋体"/>
          <w:sz w:val="28"/>
          <w:szCs w:val="28"/>
          <w:u w:val="single"/>
          <w:lang w:bidi="ar"/>
        </w:rPr>
        <w:t xml:space="preserve">                </w:t>
      </w:r>
      <w:r>
        <w:rPr>
          <w:rFonts w:hint="eastAsia" w:ascii="宋体" w:hAnsi="宋体" w:cs="宋体"/>
          <w:sz w:val="28"/>
          <w:szCs w:val="28"/>
          <w:lang w:bidi="ar"/>
        </w:rPr>
        <w:t>系中华人民共和国合法企业（或事业单位），法定地址：</w:t>
      </w:r>
      <w:r>
        <w:rPr>
          <w:rFonts w:hint="eastAsia" w:ascii="宋体" w:hAnsi="宋体" w:cs="宋体"/>
          <w:sz w:val="28"/>
          <w:szCs w:val="28"/>
          <w:u w:val="single"/>
          <w:lang w:bidi="ar"/>
        </w:rPr>
        <w:t xml:space="preserve">                       </w:t>
      </w:r>
      <w:r>
        <w:rPr>
          <w:rFonts w:hint="eastAsia" w:ascii="宋体" w:hAnsi="宋体" w:cs="宋体"/>
          <w:sz w:val="28"/>
          <w:szCs w:val="28"/>
          <w:lang w:bidi="ar"/>
        </w:rPr>
        <w:t>，特授权</w:t>
      </w:r>
      <w:r>
        <w:rPr>
          <w:rFonts w:hint="eastAsia" w:ascii="宋体" w:hAnsi="宋体" w:cs="宋体"/>
          <w:sz w:val="28"/>
          <w:szCs w:val="28"/>
          <w:u w:val="single"/>
          <w:lang w:bidi="ar"/>
        </w:rPr>
        <w:t xml:space="preserve">              </w:t>
      </w:r>
      <w:r>
        <w:rPr>
          <w:rFonts w:hint="eastAsia" w:ascii="宋体" w:hAnsi="宋体" w:cs="宋体"/>
          <w:sz w:val="28"/>
          <w:szCs w:val="28"/>
          <w:lang w:bidi="ar"/>
        </w:rPr>
        <w:t>代表我单位全权办理针对</w:t>
      </w:r>
      <w:r>
        <w:rPr>
          <w:rFonts w:hint="eastAsia" w:ascii="宋体" w:hAnsi="宋体" w:cs="宋体"/>
          <w:sz w:val="28"/>
          <w:szCs w:val="28"/>
          <w:u w:val="single"/>
          <w:lang w:bidi="ar"/>
        </w:rPr>
        <w:t>2026年度启东市汇龙镇长江汇龙段江堤巡防保安服务项目</w:t>
      </w:r>
      <w:r>
        <w:rPr>
          <w:rFonts w:hint="eastAsia" w:ascii="宋体" w:hAnsi="宋体" w:cs="宋体"/>
          <w:sz w:val="28"/>
          <w:szCs w:val="28"/>
          <w:lang w:bidi="ar"/>
        </w:rPr>
        <w:t>的投标，并签署全部有关文件、协议及合同。我单位对被授权人签名的所有文件负全部责任。被授权人签署的所有文件（在授权书有效期内签署的）不因授权的撤销而失效，本授权书自投标开始至合同履行完毕止。</w:t>
      </w:r>
    </w:p>
    <w:p w14:paraId="30E39F3A">
      <w:pPr>
        <w:spacing w:line="460" w:lineRule="exact"/>
        <w:ind w:firstLine="560"/>
        <w:rPr>
          <w:rFonts w:hint="eastAsia" w:ascii="宋体" w:hAnsi="宋体" w:cs="宋体"/>
          <w:sz w:val="28"/>
          <w:szCs w:val="28"/>
        </w:rPr>
      </w:pPr>
      <w:r>
        <w:rPr>
          <w:rFonts w:hint="eastAsia" w:ascii="宋体" w:hAnsi="宋体" w:cs="宋体"/>
          <w:sz w:val="28"/>
          <w:szCs w:val="28"/>
          <w:lang w:bidi="ar"/>
        </w:rPr>
        <w:t>被授权人无权转委托。</w:t>
      </w:r>
    </w:p>
    <w:p w14:paraId="71780DBB">
      <w:pPr>
        <w:spacing w:line="440" w:lineRule="exact"/>
        <w:ind w:firstLine="560"/>
        <w:rPr>
          <w:rFonts w:hint="eastAsia" w:ascii="宋体" w:hAnsi="宋体" w:cs="宋体"/>
          <w:sz w:val="28"/>
          <w:szCs w:val="28"/>
        </w:rPr>
      </w:pPr>
    </w:p>
    <w:p w14:paraId="425DE4A0">
      <w:pPr>
        <w:spacing w:line="440" w:lineRule="exact"/>
        <w:rPr>
          <w:rFonts w:hint="eastAsia" w:ascii="宋体" w:hAnsi="宋体" w:cs="宋体"/>
          <w:sz w:val="28"/>
          <w:szCs w:val="28"/>
        </w:rPr>
      </w:pPr>
      <w:r>
        <w:rPr>
          <w:rFonts w:hint="eastAsia" w:ascii="宋体" w:hAnsi="宋体" w:cs="宋体"/>
          <w:sz w:val="28"/>
          <w:szCs w:val="28"/>
          <w:lang w:bidi="ar"/>
        </w:rPr>
        <w:t>被授权人（签字）：</w:t>
      </w:r>
      <w:r>
        <w:rPr>
          <w:rFonts w:hint="eastAsia" w:ascii="宋体" w:hAnsi="宋体" w:cs="宋体"/>
          <w:sz w:val="28"/>
          <w:szCs w:val="28"/>
          <w:u w:val="single"/>
          <w:lang w:bidi="ar"/>
        </w:rPr>
        <w:t xml:space="preserve">        </w:t>
      </w:r>
      <w:r>
        <w:rPr>
          <w:rFonts w:hint="eastAsia" w:ascii="宋体" w:hAnsi="宋体" w:cs="宋体"/>
          <w:sz w:val="28"/>
          <w:szCs w:val="28"/>
          <w:lang w:bidi="ar"/>
        </w:rPr>
        <w:t>性别：</w:t>
      </w:r>
      <w:r>
        <w:rPr>
          <w:rFonts w:hint="eastAsia" w:ascii="宋体" w:hAnsi="宋体" w:cs="宋体"/>
          <w:sz w:val="28"/>
          <w:szCs w:val="28"/>
          <w:u w:val="single"/>
          <w:lang w:bidi="ar"/>
        </w:rPr>
        <w:t xml:space="preserve">      </w:t>
      </w:r>
      <w:r>
        <w:rPr>
          <w:rFonts w:hint="eastAsia" w:ascii="宋体" w:hAnsi="宋体" w:cs="宋体"/>
          <w:sz w:val="28"/>
          <w:szCs w:val="28"/>
          <w:lang w:bidi="ar"/>
        </w:rPr>
        <w:t>年龄：</w:t>
      </w:r>
      <w:r>
        <w:rPr>
          <w:rFonts w:hint="eastAsia" w:ascii="宋体" w:hAnsi="宋体" w:cs="宋体"/>
          <w:sz w:val="28"/>
          <w:szCs w:val="28"/>
          <w:u w:val="single"/>
          <w:lang w:bidi="ar"/>
        </w:rPr>
        <w:t xml:space="preserve">      </w:t>
      </w:r>
      <w:r>
        <w:rPr>
          <w:rFonts w:hint="eastAsia" w:ascii="宋体" w:hAnsi="宋体" w:cs="宋体"/>
          <w:sz w:val="28"/>
          <w:szCs w:val="28"/>
          <w:lang w:bidi="ar"/>
        </w:rPr>
        <w:t>职务：</w:t>
      </w:r>
      <w:r>
        <w:rPr>
          <w:rFonts w:hint="eastAsia" w:ascii="宋体" w:hAnsi="宋体" w:cs="宋体"/>
          <w:sz w:val="28"/>
          <w:szCs w:val="28"/>
          <w:u w:val="single"/>
          <w:lang w:bidi="ar"/>
        </w:rPr>
        <w:t xml:space="preserve">       </w:t>
      </w:r>
    </w:p>
    <w:p w14:paraId="2199B1CF">
      <w:pPr>
        <w:spacing w:line="440" w:lineRule="exact"/>
        <w:rPr>
          <w:rFonts w:hint="eastAsia" w:ascii="宋体" w:hAnsi="宋体" w:cs="宋体"/>
          <w:sz w:val="28"/>
          <w:szCs w:val="28"/>
        </w:rPr>
      </w:pPr>
    </w:p>
    <w:p w14:paraId="35D90597">
      <w:pPr>
        <w:spacing w:line="440" w:lineRule="exact"/>
        <w:rPr>
          <w:rFonts w:hint="eastAsia" w:ascii="宋体" w:hAnsi="宋体" w:cs="宋体"/>
          <w:sz w:val="28"/>
          <w:szCs w:val="28"/>
        </w:rPr>
      </w:pPr>
      <w:r>
        <w:rPr>
          <w:rFonts w:hint="eastAsia" w:ascii="宋体" w:hAnsi="宋体" w:cs="宋体"/>
          <w:sz w:val="28"/>
          <w:szCs w:val="28"/>
          <w:lang w:bidi="ar"/>
        </w:rPr>
        <w:t>身份证号码：</w:t>
      </w:r>
      <w:r>
        <w:rPr>
          <w:rFonts w:hint="eastAsia" w:ascii="宋体" w:hAnsi="宋体" w:cs="宋体"/>
          <w:sz w:val="28"/>
          <w:szCs w:val="28"/>
          <w:u w:val="single"/>
          <w:lang w:bidi="ar"/>
        </w:rPr>
        <w:t xml:space="preserve">                                       </w:t>
      </w:r>
    </w:p>
    <w:p w14:paraId="78FA7B53">
      <w:pPr>
        <w:spacing w:line="440" w:lineRule="exact"/>
        <w:rPr>
          <w:rFonts w:hint="eastAsia" w:ascii="宋体" w:hAnsi="宋体" w:cs="宋体"/>
          <w:sz w:val="28"/>
          <w:szCs w:val="28"/>
        </w:rPr>
      </w:pPr>
    </w:p>
    <w:p w14:paraId="4FC49640">
      <w:pPr>
        <w:spacing w:line="440" w:lineRule="exact"/>
        <w:rPr>
          <w:rFonts w:hint="eastAsia" w:ascii="宋体" w:hAnsi="宋体" w:cs="宋体"/>
          <w:sz w:val="28"/>
          <w:szCs w:val="28"/>
        </w:rPr>
      </w:pPr>
      <w:r>
        <w:rPr>
          <w:rFonts w:hint="eastAsia" w:ascii="宋体" w:hAnsi="宋体" w:cs="宋体"/>
          <w:sz w:val="28"/>
          <w:szCs w:val="28"/>
          <w:lang w:bidi="ar"/>
        </w:rPr>
        <w:t>通讯地址：</w:t>
      </w:r>
      <w:r>
        <w:rPr>
          <w:rFonts w:hint="eastAsia" w:ascii="宋体" w:hAnsi="宋体" w:cs="宋体"/>
          <w:sz w:val="28"/>
          <w:szCs w:val="28"/>
          <w:u w:val="single"/>
          <w:lang w:bidi="ar"/>
        </w:rPr>
        <w:t xml:space="preserve">                                         </w:t>
      </w:r>
    </w:p>
    <w:p w14:paraId="0DC8E456">
      <w:pPr>
        <w:spacing w:line="440" w:lineRule="exact"/>
        <w:rPr>
          <w:rFonts w:hint="eastAsia" w:ascii="宋体" w:hAnsi="宋体" w:cs="宋体"/>
          <w:sz w:val="28"/>
          <w:szCs w:val="28"/>
        </w:rPr>
      </w:pPr>
    </w:p>
    <w:p w14:paraId="7D1372CE">
      <w:pPr>
        <w:spacing w:line="440" w:lineRule="exact"/>
        <w:rPr>
          <w:rFonts w:hint="eastAsia" w:ascii="宋体" w:hAnsi="宋体" w:cs="宋体"/>
          <w:sz w:val="28"/>
          <w:szCs w:val="28"/>
        </w:rPr>
      </w:pPr>
      <w:r>
        <w:rPr>
          <w:rFonts w:hint="eastAsia" w:ascii="宋体" w:hAnsi="宋体" w:cs="宋体"/>
          <w:sz w:val="28"/>
          <w:szCs w:val="28"/>
          <w:lang w:bidi="ar"/>
        </w:rPr>
        <w:t>联系电话：</w:t>
      </w:r>
      <w:r>
        <w:rPr>
          <w:rFonts w:hint="eastAsia" w:ascii="宋体" w:hAnsi="宋体" w:cs="宋体"/>
          <w:sz w:val="28"/>
          <w:szCs w:val="28"/>
          <w:u w:val="single"/>
          <w:lang w:bidi="ar"/>
        </w:rPr>
        <w:t xml:space="preserve">                                         </w:t>
      </w:r>
    </w:p>
    <w:p w14:paraId="6CAF236A">
      <w:pPr>
        <w:spacing w:line="440" w:lineRule="exact"/>
        <w:rPr>
          <w:rFonts w:hint="eastAsia" w:ascii="宋体" w:hAnsi="宋体" w:cs="宋体"/>
          <w:sz w:val="28"/>
          <w:szCs w:val="28"/>
        </w:rPr>
      </w:pPr>
    </w:p>
    <w:p w14:paraId="199399E3">
      <w:pPr>
        <w:spacing w:line="440" w:lineRule="exact"/>
        <w:rPr>
          <w:rFonts w:hint="eastAsia" w:ascii="宋体" w:hAnsi="宋体" w:cs="宋体"/>
          <w:sz w:val="28"/>
          <w:szCs w:val="28"/>
        </w:rPr>
      </w:pPr>
      <w:r>
        <w:rPr>
          <w:rFonts w:hint="eastAsia" w:ascii="宋体" w:hAnsi="宋体" w:cs="宋体"/>
          <w:sz w:val="28"/>
          <w:szCs w:val="28"/>
          <w:lang w:bidi="ar"/>
        </w:rPr>
        <w:t>法定代表人（签字或盖章）：</w:t>
      </w:r>
      <w:r>
        <w:rPr>
          <w:rFonts w:hint="eastAsia" w:ascii="宋体" w:hAnsi="宋体" w:cs="宋体"/>
          <w:sz w:val="28"/>
          <w:szCs w:val="28"/>
          <w:u w:val="single"/>
          <w:lang w:bidi="ar"/>
        </w:rPr>
        <w:t xml:space="preserve">                  </w:t>
      </w:r>
      <w:r>
        <w:rPr>
          <w:rFonts w:hint="eastAsia" w:ascii="宋体" w:hAnsi="宋体" w:cs="宋体"/>
          <w:sz w:val="28"/>
          <w:szCs w:val="28"/>
          <w:lang w:bidi="ar"/>
        </w:rPr>
        <w:t xml:space="preserve"> </w:t>
      </w:r>
    </w:p>
    <w:p w14:paraId="68B96F37">
      <w:pPr>
        <w:spacing w:line="440" w:lineRule="exact"/>
        <w:rPr>
          <w:rFonts w:hint="eastAsia" w:ascii="宋体" w:hAnsi="宋体" w:cs="宋体"/>
          <w:sz w:val="28"/>
          <w:szCs w:val="28"/>
        </w:rPr>
      </w:pPr>
    </w:p>
    <w:p w14:paraId="01B7A32D">
      <w:pPr>
        <w:spacing w:line="440" w:lineRule="exact"/>
        <w:rPr>
          <w:rFonts w:hint="eastAsia" w:ascii="宋体" w:hAnsi="宋体" w:cs="宋体"/>
          <w:sz w:val="28"/>
          <w:szCs w:val="28"/>
        </w:rPr>
      </w:pPr>
      <w:r>
        <w:rPr>
          <w:rFonts w:hint="eastAsia" w:ascii="宋体" w:hAnsi="宋体" w:cs="宋体"/>
          <w:sz w:val="28"/>
          <w:szCs w:val="28"/>
          <w:lang w:bidi="ar"/>
        </w:rPr>
        <w:t>供应商（盖公章）：</w:t>
      </w:r>
      <w:r>
        <w:rPr>
          <w:rFonts w:hint="eastAsia" w:ascii="宋体" w:hAnsi="宋体" w:cs="宋体"/>
          <w:sz w:val="28"/>
          <w:szCs w:val="28"/>
          <w:u w:val="single"/>
          <w:lang w:bidi="ar"/>
        </w:rPr>
        <w:t xml:space="preserve">                          </w:t>
      </w:r>
    </w:p>
    <w:p w14:paraId="75BCBFDD">
      <w:pPr>
        <w:spacing w:line="440" w:lineRule="exact"/>
        <w:rPr>
          <w:rFonts w:hint="eastAsia" w:ascii="宋体" w:hAnsi="宋体" w:cs="宋体"/>
          <w:sz w:val="24"/>
        </w:rPr>
      </w:pPr>
    </w:p>
    <w:p w14:paraId="1947F6B2">
      <w:pPr>
        <w:spacing w:line="440" w:lineRule="exact"/>
        <w:rPr>
          <w:rFonts w:hint="eastAsia" w:ascii="宋体" w:hAnsi="宋体" w:cs="宋体"/>
          <w:sz w:val="24"/>
        </w:rPr>
      </w:pPr>
      <w:r>
        <w:rPr>
          <w:rFonts w:hint="eastAsia" w:ascii="宋体" w:hAnsi="宋体" w:cs="宋体"/>
          <w:sz w:val="24"/>
          <w:lang w:bidi="ar"/>
        </w:rPr>
        <w:t xml:space="preserve">                              日期： </w:t>
      </w:r>
      <w:r>
        <w:rPr>
          <w:rFonts w:hint="eastAsia" w:ascii="宋体" w:hAnsi="宋体" w:cs="宋体"/>
          <w:sz w:val="24"/>
          <w:u w:val="single"/>
          <w:lang w:bidi="ar"/>
        </w:rPr>
        <w:t xml:space="preserve">          </w:t>
      </w:r>
      <w:r>
        <w:rPr>
          <w:rFonts w:hint="eastAsia" w:ascii="宋体" w:hAnsi="宋体" w:cs="宋体"/>
          <w:sz w:val="24"/>
          <w:lang w:bidi="ar"/>
        </w:rPr>
        <w:t>年</w:t>
      </w:r>
      <w:r>
        <w:rPr>
          <w:rFonts w:hint="eastAsia" w:ascii="宋体" w:hAnsi="宋体" w:cs="宋体"/>
          <w:sz w:val="24"/>
          <w:u w:val="single"/>
          <w:lang w:bidi="ar"/>
        </w:rPr>
        <w:t xml:space="preserve">     </w:t>
      </w:r>
      <w:r>
        <w:rPr>
          <w:rFonts w:hint="eastAsia" w:ascii="宋体" w:hAnsi="宋体" w:cs="宋体"/>
          <w:sz w:val="24"/>
          <w:lang w:bidi="ar"/>
        </w:rPr>
        <w:t>月</w:t>
      </w:r>
      <w:r>
        <w:rPr>
          <w:rFonts w:hint="eastAsia" w:ascii="宋体" w:hAnsi="宋体" w:cs="宋体"/>
          <w:sz w:val="24"/>
          <w:u w:val="single"/>
          <w:lang w:bidi="ar"/>
        </w:rPr>
        <w:t xml:space="preserve">    </w:t>
      </w:r>
      <w:r>
        <w:rPr>
          <w:rFonts w:hint="eastAsia" w:ascii="宋体" w:hAnsi="宋体" w:cs="宋体"/>
          <w:sz w:val="24"/>
          <w:lang w:bidi="ar"/>
        </w:rPr>
        <w:t>日</w:t>
      </w:r>
    </w:p>
    <w:p w14:paraId="424EF445">
      <w:pPr>
        <w:spacing w:line="440" w:lineRule="exact"/>
        <w:jc w:val="left"/>
        <w:rPr>
          <w:rFonts w:hint="eastAsia" w:ascii="宋体" w:hAnsi="宋体" w:cs="宋体"/>
          <w:b/>
          <w:sz w:val="24"/>
        </w:rPr>
      </w:pPr>
    </w:p>
    <w:p w14:paraId="5F47119B">
      <w:pPr>
        <w:jc w:val="left"/>
        <w:rPr>
          <w:rFonts w:hint="eastAsia" w:ascii="宋体" w:hAnsi="宋体" w:cs="宋体"/>
          <w:b/>
          <w:bCs/>
          <w:sz w:val="28"/>
          <w:szCs w:val="28"/>
          <w:lang w:bidi="ar"/>
        </w:rPr>
      </w:pPr>
    </w:p>
    <w:p w14:paraId="25FD3EDE">
      <w:pPr>
        <w:jc w:val="left"/>
        <w:rPr>
          <w:rFonts w:hint="eastAsia" w:ascii="宋体" w:hAnsi="宋体" w:cs="宋体"/>
          <w:sz w:val="28"/>
          <w:szCs w:val="28"/>
        </w:rPr>
      </w:pPr>
      <w:r>
        <w:rPr>
          <w:rFonts w:hint="eastAsia" w:ascii="宋体" w:hAnsi="宋体" w:cs="宋体"/>
          <w:b/>
          <w:bCs/>
          <w:sz w:val="28"/>
          <w:szCs w:val="28"/>
          <w:lang w:bidi="ar"/>
        </w:rPr>
        <w:t>附：被授权人身份证正反面复印件加盖公章</w:t>
      </w:r>
    </w:p>
    <w:p w14:paraId="23AADA5D">
      <w:pPr>
        <w:spacing w:line="400" w:lineRule="exact"/>
        <w:ind w:firstLine="540"/>
        <w:contextualSpacing/>
        <w:rPr>
          <w:rFonts w:hint="eastAsia" w:ascii="宋体" w:hAnsi="宋体" w:cs="宋体"/>
          <w:b/>
          <w:sz w:val="28"/>
          <w:szCs w:val="28"/>
        </w:rPr>
      </w:pPr>
    </w:p>
    <w:p w14:paraId="64529266">
      <w:pPr>
        <w:widowControl/>
        <w:spacing w:before="100" w:beforeAutospacing="1" w:after="100" w:afterAutospacing="1" w:line="500" w:lineRule="atLeast"/>
        <w:jc w:val="left"/>
        <w:rPr>
          <w:rFonts w:hint="eastAsia" w:ascii="宋体" w:hAnsi="宋体" w:cs="宋体"/>
          <w:sz w:val="32"/>
          <w:szCs w:val="32"/>
        </w:rPr>
      </w:pPr>
    </w:p>
    <w:p w14:paraId="6CA39DAF">
      <w:pPr>
        <w:snapToGrid w:val="0"/>
        <w:spacing w:line="400" w:lineRule="exact"/>
        <w:contextualSpacing/>
        <w:rPr>
          <w:rFonts w:hint="eastAsia" w:ascii="宋体" w:hAnsi="宋体" w:cs="宋体"/>
          <w:kern w:val="0"/>
          <w:sz w:val="32"/>
          <w:szCs w:val="32"/>
        </w:rPr>
      </w:pPr>
      <w:r>
        <w:rPr>
          <w:rFonts w:hint="eastAsia" w:ascii="宋体" w:hAnsi="宋体" w:cs="宋体"/>
          <w:kern w:val="0"/>
          <w:sz w:val="32"/>
          <w:szCs w:val="32"/>
        </w:rPr>
        <w:t>附件4</w:t>
      </w:r>
    </w:p>
    <w:p w14:paraId="6848FC88">
      <w:pPr>
        <w:spacing w:line="440" w:lineRule="exact"/>
        <w:ind w:firstLine="602" w:firstLineChars="200"/>
        <w:jc w:val="center"/>
        <w:rPr>
          <w:rFonts w:hint="eastAsia" w:ascii="宋体" w:hAnsi="宋体" w:cs="宋体"/>
          <w:b/>
          <w:sz w:val="30"/>
          <w:szCs w:val="30"/>
          <w:lang w:bidi="ar"/>
        </w:rPr>
      </w:pPr>
    </w:p>
    <w:p w14:paraId="45FFFFA0">
      <w:pPr>
        <w:spacing w:line="440" w:lineRule="exact"/>
        <w:ind w:firstLine="602" w:firstLineChars="200"/>
        <w:jc w:val="center"/>
        <w:rPr>
          <w:rFonts w:hint="eastAsia" w:ascii="宋体" w:hAnsi="宋体" w:cs="宋体"/>
          <w:b/>
          <w:sz w:val="30"/>
          <w:szCs w:val="30"/>
          <w:lang w:bidi="ar"/>
        </w:rPr>
      </w:pPr>
    </w:p>
    <w:p w14:paraId="783AEFDB">
      <w:pPr>
        <w:pStyle w:val="31"/>
        <w:widowControl w:val="0"/>
        <w:spacing w:before="0" w:beforeAutospacing="0" w:after="0" w:afterAutospacing="0"/>
        <w:ind w:firstLine="602" w:firstLineChars="200"/>
        <w:jc w:val="center"/>
        <w:rPr>
          <w:b/>
          <w:color w:val="000000"/>
        </w:rPr>
      </w:pPr>
      <w:r>
        <w:rPr>
          <w:rFonts w:hint="eastAsia"/>
          <w:b/>
          <w:color w:val="000000"/>
          <w:kern w:val="2"/>
          <w:sz w:val="30"/>
          <w:szCs w:val="30"/>
          <w:lang w:bidi="ar"/>
        </w:rPr>
        <w:t>参加政府采购活动前三年内在经营活动中没有重大违法记</w:t>
      </w:r>
      <w:r>
        <w:rPr>
          <w:rFonts w:hint="eastAsia"/>
          <w:b/>
          <w:bCs/>
          <w:color w:val="000000"/>
          <w:kern w:val="2"/>
          <w:sz w:val="30"/>
          <w:szCs w:val="30"/>
          <w:lang w:bidi="ar"/>
        </w:rPr>
        <w:t>录和失信记录的书面声明</w:t>
      </w:r>
    </w:p>
    <w:p w14:paraId="130E0DB1">
      <w:pPr>
        <w:spacing w:line="460" w:lineRule="exact"/>
        <w:rPr>
          <w:rFonts w:ascii="宋体" w:hAnsi="宋体" w:cs="宋体"/>
          <w:b/>
          <w:color w:val="000000"/>
          <w:sz w:val="44"/>
          <w:szCs w:val="44"/>
        </w:rPr>
      </w:pPr>
      <w:r>
        <w:rPr>
          <w:rFonts w:hint="eastAsia" w:ascii="宋体" w:hAnsi="宋体" w:cs="宋体"/>
          <w:b/>
          <w:color w:val="000000"/>
          <w:sz w:val="24"/>
          <w:lang w:bidi="ar"/>
        </w:rPr>
        <w:t xml:space="preserve">                       </w:t>
      </w:r>
      <w:r>
        <w:rPr>
          <w:rFonts w:hint="eastAsia" w:ascii="宋体" w:hAnsi="宋体" w:cs="宋体"/>
          <w:b/>
          <w:color w:val="000000"/>
          <w:sz w:val="44"/>
          <w:szCs w:val="44"/>
          <w:lang w:bidi="ar"/>
        </w:rPr>
        <w:t xml:space="preserve">   </w:t>
      </w:r>
    </w:p>
    <w:p w14:paraId="16FD43C6">
      <w:pPr>
        <w:spacing w:line="500" w:lineRule="exact"/>
        <w:ind w:firstLine="482"/>
        <w:rPr>
          <w:rFonts w:ascii="宋体" w:hAnsi="宋体" w:cs="宋体"/>
          <w:bCs/>
          <w:color w:val="000000"/>
          <w:sz w:val="24"/>
        </w:rPr>
      </w:pPr>
      <w:r>
        <w:rPr>
          <w:rFonts w:hint="eastAsia" w:ascii="宋体" w:hAnsi="宋体" w:cs="宋体"/>
          <w:bCs/>
          <w:color w:val="000000"/>
          <w:sz w:val="24"/>
          <w:lang w:bidi="ar"/>
        </w:rPr>
        <w:t>我公司郑重声明：参加本次政府采购活动前 3 年内，我公司在经营活动中没有因违法经营受到刑事处罚或者责令停产停业、吊销许可证或者执照、较大数额罚款等行政处罚。</w:t>
      </w:r>
    </w:p>
    <w:p w14:paraId="06C5558E">
      <w:pPr>
        <w:spacing w:line="500" w:lineRule="exact"/>
        <w:ind w:firstLine="482"/>
        <w:rPr>
          <w:rFonts w:ascii="宋体" w:hAnsi="宋体" w:cs="宋体"/>
          <w:bCs/>
          <w:color w:val="000000"/>
          <w:sz w:val="24"/>
        </w:rPr>
      </w:pPr>
      <w:r>
        <w:rPr>
          <w:rFonts w:hint="eastAsia" w:ascii="宋体" w:hAnsi="宋体" w:cs="宋体"/>
          <w:bCs/>
          <w:color w:val="000000"/>
          <w:sz w:val="24"/>
          <w:lang w:bidi="ar"/>
        </w:rPr>
        <w:t>在</w:t>
      </w:r>
      <w:r>
        <w:rPr>
          <w:rFonts w:hint="eastAsia" w:ascii="宋体" w:hAnsi="宋体" w:cs="宋体"/>
          <w:color w:val="000000"/>
          <w:sz w:val="24"/>
          <w:lang w:bidi="ar"/>
        </w:rPr>
        <w:t>投标截止时间节点，没有被“信用中国”、“中国政府采购网”、“信用江苏”网站列入失信被执行人、重大税收违法案件当事人名单、政府采购严重违法失信行为记录名单。</w:t>
      </w:r>
    </w:p>
    <w:p w14:paraId="47F723AA">
      <w:pPr>
        <w:spacing w:line="460" w:lineRule="exact"/>
        <w:rPr>
          <w:rFonts w:ascii="宋体" w:hAnsi="宋体" w:cs="宋体"/>
          <w:bCs/>
          <w:color w:val="000000"/>
          <w:sz w:val="24"/>
          <w:lang w:bidi="ar"/>
        </w:rPr>
      </w:pPr>
      <w:r>
        <w:rPr>
          <w:rFonts w:hint="eastAsia" w:ascii="宋体" w:hAnsi="宋体" w:cs="宋体"/>
          <w:bCs/>
          <w:color w:val="000000"/>
          <w:sz w:val="24"/>
          <w:lang w:bidi="ar"/>
        </w:rPr>
        <w:t xml:space="preserve">                                 </w:t>
      </w:r>
    </w:p>
    <w:p w14:paraId="55E654AF">
      <w:pPr>
        <w:spacing w:line="460" w:lineRule="exact"/>
        <w:ind w:firstLine="4080" w:firstLineChars="1700"/>
        <w:rPr>
          <w:rFonts w:ascii="宋体" w:hAnsi="宋体" w:cs="宋体"/>
          <w:bCs/>
          <w:color w:val="000000"/>
          <w:sz w:val="24"/>
        </w:rPr>
      </w:pPr>
      <w:r>
        <w:rPr>
          <w:rFonts w:hint="eastAsia" w:ascii="宋体" w:hAnsi="宋体" w:cs="宋体"/>
          <w:bCs/>
          <w:color w:val="000000"/>
          <w:sz w:val="24"/>
          <w:lang w:bidi="ar"/>
        </w:rPr>
        <w:t>投标人名称（公章）：</w:t>
      </w:r>
    </w:p>
    <w:p w14:paraId="57D66EC5">
      <w:pPr>
        <w:spacing w:line="460" w:lineRule="exact"/>
        <w:rPr>
          <w:rFonts w:ascii="宋体" w:hAnsi="宋体" w:cs="宋体"/>
          <w:bCs/>
          <w:color w:val="000000"/>
          <w:sz w:val="24"/>
          <w:u w:val="single"/>
        </w:rPr>
      </w:pPr>
      <w:r>
        <w:rPr>
          <w:rFonts w:hint="eastAsia" w:ascii="宋体" w:hAnsi="宋体" w:cs="宋体"/>
          <w:bCs/>
          <w:color w:val="000000"/>
          <w:sz w:val="24"/>
          <w:lang w:bidi="ar"/>
        </w:rPr>
        <w:t xml:space="preserve">                                  授权代表签字：</w:t>
      </w:r>
    </w:p>
    <w:p w14:paraId="5A145D4B">
      <w:pPr>
        <w:pStyle w:val="268"/>
        <w:spacing w:line="360" w:lineRule="auto"/>
        <w:jc w:val="left"/>
        <w:rPr>
          <w:rFonts w:hint="eastAsia" w:hAnsi="宋体"/>
          <w:bCs/>
          <w:color w:val="000000"/>
          <w:lang w:bidi="ar"/>
        </w:rPr>
      </w:pPr>
      <w:r>
        <w:rPr>
          <w:rFonts w:hint="eastAsia" w:hAnsi="宋体"/>
          <w:bCs/>
          <w:color w:val="000000"/>
          <w:lang w:bidi="ar"/>
        </w:rPr>
        <w:t xml:space="preserve">                                  日期：       年    月    日</w:t>
      </w:r>
    </w:p>
    <w:p w14:paraId="2C86FED5">
      <w:pPr>
        <w:rPr>
          <w:rFonts w:hint="eastAsia" w:ascii="宋体" w:hAnsi="宋体" w:cs="宋体"/>
          <w:sz w:val="32"/>
          <w:szCs w:val="32"/>
        </w:rPr>
      </w:pPr>
      <w:r>
        <w:rPr>
          <w:rFonts w:hint="eastAsia" w:ascii="宋体" w:hAnsi="宋体" w:cs="宋体"/>
          <w:sz w:val="32"/>
          <w:szCs w:val="32"/>
        </w:rPr>
        <w:br w:type="page"/>
      </w:r>
    </w:p>
    <w:p w14:paraId="57337EB3">
      <w:pPr>
        <w:widowControl/>
        <w:spacing w:before="100" w:beforeAutospacing="1" w:after="100" w:afterAutospacing="1" w:line="500" w:lineRule="atLeast"/>
        <w:jc w:val="left"/>
        <w:rPr>
          <w:rFonts w:hint="eastAsia" w:ascii="宋体" w:hAnsi="宋体" w:eastAsia="宋体" w:cs="宋体"/>
          <w:b/>
          <w:bCs/>
          <w:sz w:val="32"/>
          <w:szCs w:val="32"/>
          <w:lang w:eastAsia="zh-CN"/>
        </w:rPr>
      </w:pPr>
      <w:r>
        <w:rPr>
          <w:rFonts w:hint="eastAsia" w:ascii="宋体" w:hAnsi="宋体" w:cs="宋体"/>
          <w:sz w:val="32"/>
          <w:szCs w:val="32"/>
        </w:rPr>
        <w:t>附件</w:t>
      </w:r>
      <w:r>
        <w:rPr>
          <w:rFonts w:hint="eastAsia" w:ascii="宋体" w:hAnsi="宋体" w:cs="宋体"/>
          <w:sz w:val="32"/>
          <w:szCs w:val="32"/>
          <w:lang w:val="en-US" w:eastAsia="zh-CN"/>
        </w:rPr>
        <w:t>5</w:t>
      </w:r>
    </w:p>
    <w:p w14:paraId="1D6DD43F">
      <w:pPr>
        <w:widowControl/>
        <w:spacing w:before="100" w:beforeAutospacing="1" w:after="100" w:afterAutospacing="1" w:line="500" w:lineRule="atLeast"/>
        <w:jc w:val="center"/>
        <w:rPr>
          <w:rFonts w:hint="eastAsia" w:ascii="宋体" w:hAnsi="宋体" w:cs="宋体"/>
          <w:b/>
          <w:bCs/>
          <w:sz w:val="32"/>
          <w:szCs w:val="32"/>
        </w:rPr>
      </w:pPr>
      <w:r>
        <w:rPr>
          <w:rFonts w:hint="eastAsia" w:ascii="宋体" w:hAnsi="宋体" w:cs="宋体"/>
          <w:b/>
          <w:bCs/>
          <w:sz w:val="32"/>
          <w:szCs w:val="32"/>
        </w:rPr>
        <w:t>磋商响应报价表</w:t>
      </w:r>
    </w:p>
    <w:tbl>
      <w:tblPr>
        <w:tblStyle w:val="35"/>
        <w:tblpPr w:leftFromText="180" w:rightFromText="180" w:vertAnchor="text" w:horzAnchor="page" w:tblpX="1764" w:tblpY="253"/>
        <w:tblOverlap w:val="never"/>
        <w:tblW w:w="89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8"/>
        <w:gridCol w:w="2529"/>
        <w:gridCol w:w="1516"/>
        <w:gridCol w:w="2000"/>
        <w:gridCol w:w="2157"/>
      </w:tblGrid>
      <w:tr w14:paraId="33CD8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jc w:val="center"/>
        </w:trPr>
        <w:tc>
          <w:tcPr>
            <w:tcW w:w="788" w:type="dxa"/>
            <w:noWrap w:val="0"/>
            <w:vAlign w:val="center"/>
          </w:tcPr>
          <w:p w14:paraId="6974AEE9">
            <w:pPr>
              <w:snapToGrid w:val="0"/>
              <w:jc w:val="center"/>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序号</w:t>
            </w:r>
          </w:p>
        </w:tc>
        <w:tc>
          <w:tcPr>
            <w:tcW w:w="2529" w:type="dxa"/>
            <w:noWrap w:val="0"/>
            <w:vAlign w:val="center"/>
          </w:tcPr>
          <w:p w14:paraId="6FB99E86">
            <w:pPr>
              <w:snapToGrid w:val="0"/>
              <w:jc w:val="center"/>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项目名称</w:t>
            </w:r>
          </w:p>
        </w:tc>
        <w:tc>
          <w:tcPr>
            <w:tcW w:w="1516" w:type="dxa"/>
            <w:noWrap w:val="0"/>
            <w:vAlign w:val="center"/>
          </w:tcPr>
          <w:p w14:paraId="4DD65DB0">
            <w:pPr>
              <w:snapToGrid w:val="0"/>
              <w:jc w:val="center"/>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服务期限</w:t>
            </w:r>
          </w:p>
        </w:tc>
        <w:tc>
          <w:tcPr>
            <w:tcW w:w="2000" w:type="dxa"/>
            <w:noWrap w:val="0"/>
            <w:vAlign w:val="center"/>
          </w:tcPr>
          <w:p w14:paraId="77A6D8C8">
            <w:pPr>
              <w:snapToGrid w:val="0"/>
              <w:jc w:val="center"/>
              <w:rPr>
                <w:rFonts w:hint="eastAsia" w:ascii="宋体" w:hAnsi="宋体" w:eastAsia="宋体" w:cs="宋体"/>
                <w:b/>
                <w:bCs/>
                <w:sz w:val="28"/>
                <w:szCs w:val="28"/>
                <w:highlight w:val="none"/>
                <w:lang w:eastAsia="zh-CN"/>
              </w:rPr>
            </w:pPr>
            <w:r>
              <w:rPr>
                <w:rFonts w:hint="eastAsia" w:ascii="宋体" w:hAnsi="宋体" w:eastAsia="宋体" w:cs="宋体"/>
                <w:b/>
                <w:bCs/>
                <w:sz w:val="28"/>
                <w:szCs w:val="28"/>
                <w:highlight w:val="none"/>
                <w:lang w:eastAsia="zh-CN"/>
              </w:rPr>
              <w:t>投标报价</w:t>
            </w:r>
          </w:p>
          <w:p w14:paraId="5D55A5F7">
            <w:pPr>
              <w:snapToGrid w:val="0"/>
              <w:jc w:val="center"/>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（元）</w:t>
            </w:r>
          </w:p>
        </w:tc>
        <w:tc>
          <w:tcPr>
            <w:tcW w:w="2157" w:type="dxa"/>
            <w:noWrap w:val="0"/>
            <w:vAlign w:val="center"/>
          </w:tcPr>
          <w:p w14:paraId="23821FE5">
            <w:pPr>
              <w:snapToGrid w:val="0"/>
              <w:jc w:val="center"/>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备注</w:t>
            </w:r>
          </w:p>
        </w:tc>
      </w:tr>
      <w:tr w14:paraId="10CB02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0" w:hRule="atLeast"/>
          <w:jc w:val="center"/>
        </w:trPr>
        <w:tc>
          <w:tcPr>
            <w:tcW w:w="788" w:type="dxa"/>
            <w:noWrap w:val="0"/>
            <w:vAlign w:val="center"/>
          </w:tcPr>
          <w:p w14:paraId="3241E382">
            <w:pPr>
              <w:snapToGrid w:val="0"/>
              <w:jc w:val="center"/>
              <w:rPr>
                <w:rFonts w:hint="eastAsia" w:ascii="宋体" w:hAnsi="宋体" w:eastAsia="宋体" w:cs="宋体"/>
                <w:bCs/>
                <w:sz w:val="24"/>
                <w:szCs w:val="24"/>
                <w:highlight w:val="none"/>
              </w:rPr>
            </w:pPr>
            <w:r>
              <w:rPr>
                <w:rFonts w:hint="eastAsia" w:ascii="宋体" w:hAnsi="宋体" w:eastAsia="宋体" w:cs="宋体"/>
                <w:bCs/>
                <w:sz w:val="24"/>
                <w:szCs w:val="24"/>
                <w:highlight w:val="none"/>
              </w:rPr>
              <w:t>1</w:t>
            </w:r>
          </w:p>
        </w:tc>
        <w:tc>
          <w:tcPr>
            <w:tcW w:w="2529" w:type="dxa"/>
            <w:noWrap w:val="0"/>
            <w:vAlign w:val="center"/>
          </w:tcPr>
          <w:p w14:paraId="5ECFC577">
            <w:pPr>
              <w:snapToGrid w:val="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2026年度启东市汇龙镇长江汇龙段江堤巡防保安服务项目</w:t>
            </w:r>
          </w:p>
        </w:tc>
        <w:tc>
          <w:tcPr>
            <w:tcW w:w="1516" w:type="dxa"/>
            <w:noWrap w:val="0"/>
            <w:vAlign w:val="center"/>
          </w:tcPr>
          <w:p w14:paraId="2EA59C8F">
            <w:pPr>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一年</w:t>
            </w:r>
          </w:p>
        </w:tc>
        <w:tc>
          <w:tcPr>
            <w:tcW w:w="2000" w:type="dxa"/>
            <w:noWrap w:val="0"/>
            <w:vAlign w:val="center"/>
          </w:tcPr>
          <w:p w14:paraId="6A9769ED">
            <w:pPr>
              <w:snapToGrid w:val="0"/>
              <w:jc w:val="center"/>
              <w:rPr>
                <w:rFonts w:hint="eastAsia" w:ascii="宋体" w:hAnsi="宋体" w:eastAsia="宋体" w:cs="宋体"/>
                <w:sz w:val="24"/>
                <w:szCs w:val="24"/>
                <w:highlight w:val="none"/>
              </w:rPr>
            </w:pPr>
          </w:p>
        </w:tc>
        <w:tc>
          <w:tcPr>
            <w:tcW w:w="2157" w:type="dxa"/>
            <w:noWrap w:val="0"/>
            <w:vAlign w:val="center"/>
          </w:tcPr>
          <w:p w14:paraId="526FB495">
            <w:pPr>
              <w:snapToGrid w:val="0"/>
              <w:jc w:val="center"/>
              <w:rPr>
                <w:rFonts w:hint="eastAsia" w:ascii="宋体" w:hAnsi="宋体" w:eastAsia="宋体" w:cs="宋体"/>
                <w:sz w:val="24"/>
                <w:szCs w:val="24"/>
                <w:highlight w:val="none"/>
              </w:rPr>
            </w:pPr>
          </w:p>
        </w:tc>
      </w:tr>
      <w:tr w14:paraId="782150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3317" w:type="dxa"/>
            <w:gridSpan w:val="2"/>
            <w:noWrap w:val="0"/>
            <w:vAlign w:val="center"/>
          </w:tcPr>
          <w:p w14:paraId="1FDCFE9D">
            <w:pPr>
              <w:snapToGrid w:val="0"/>
              <w:jc w:val="center"/>
              <w:rPr>
                <w:rFonts w:hint="eastAsia" w:ascii="宋体" w:hAnsi="宋体" w:eastAsia="宋体" w:cs="宋体"/>
                <w:b/>
                <w:bCs/>
                <w:sz w:val="28"/>
                <w:szCs w:val="28"/>
                <w:highlight w:val="none"/>
                <w:lang w:eastAsia="zh-CN"/>
              </w:rPr>
            </w:pPr>
            <w:r>
              <w:rPr>
                <w:rFonts w:hint="eastAsia" w:ascii="宋体" w:hAnsi="宋体" w:eastAsia="宋体" w:cs="宋体"/>
                <w:b/>
                <w:bCs/>
                <w:sz w:val="28"/>
                <w:szCs w:val="28"/>
                <w:highlight w:val="none"/>
                <w:lang w:eastAsia="zh-CN"/>
              </w:rPr>
              <w:t>投标总报价</w:t>
            </w:r>
          </w:p>
        </w:tc>
        <w:tc>
          <w:tcPr>
            <w:tcW w:w="5673" w:type="dxa"/>
            <w:gridSpan w:val="3"/>
            <w:noWrap w:val="0"/>
            <w:vAlign w:val="center"/>
          </w:tcPr>
          <w:p w14:paraId="3A79B7BA">
            <w:pPr>
              <w:snapToGrid w:val="0"/>
              <w:jc w:val="left"/>
              <w:rPr>
                <w:rFonts w:hint="eastAsia" w:ascii="宋体" w:hAnsi="宋体" w:eastAsia="宋体" w:cs="宋体"/>
                <w:b/>
                <w:bCs/>
                <w:sz w:val="28"/>
                <w:szCs w:val="28"/>
                <w:highlight w:val="none"/>
                <w:lang w:eastAsia="zh-CN"/>
              </w:rPr>
            </w:pPr>
            <w:r>
              <w:rPr>
                <w:rFonts w:hint="eastAsia" w:ascii="宋体" w:hAnsi="宋体" w:eastAsia="宋体" w:cs="宋体"/>
                <w:b/>
                <w:bCs/>
                <w:sz w:val="28"/>
                <w:szCs w:val="28"/>
                <w:highlight w:val="none"/>
                <w:lang w:eastAsia="zh-CN"/>
              </w:rPr>
              <w:t>大写：</w:t>
            </w:r>
            <w:r>
              <w:rPr>
                <w:rFonts w:hint="eastAsia" w:ascii="宋体" w:hAnsi="宋体" w:eastAsia="宋体" w:cs="宋体"/>
                <w:b/>
                <w:bCs/>
                <w:sz w:val="28"/>
                <w:szCs w:val="28"/>
                <w:highlight w:val="none"/>
                <w:lang w:val="en-US" w:eastAsia="zh-CN"/>
              </w:rPr>
              <w:t xml:space="preserve">             </w:t>
            </w:r>
            <w:r>
              <w:rPr>
                <w:rFonts w:hint="eastAsia" w:ascii="宋体" w:hAnsi="宋体" w:eastAsia="宋体" w:cs="宋体"/>
                <w:b/>
                <w:bCs/>
                <w:sz w:val="28"/>
                <w:szCs w:val="28"/>
                <w:highlight w:val="none"/>
                <w:lang w:eastAsia="zh-CN"/>
              </w:rPr>
              <w:t>小写：</w:t>
            </w:r>
          </w:p>
        </w:tc>
      </w:tr>
      <w:tr w14:paraId="6CB44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4" w:hRule="atLeast"/>
          <w:jc w:val="center"/>
        </w:trPr>
        <w:tc>
          <w:tcPr>
            <w:tcW w:w="8990" w:type="dxa"/>
            <w:gridSpan w:val="5"/>
            <w:noWrap w:val="0"/>
            <w:vAlign w:val="center"/>
          </w:tcPr>
          <w:p w14:paraId="2B079072">
            <w:pPr>
              <w:keepNext w:val="0"/>
              <w:keepLines w:val="0"/>
              <w:pageBreakBefore w:val="0"/>
              <w:widowControl w:val="0"/>
              <w:kinsoku/>
              <w:wordWrap/>
              <w:overflowPunct/>
              <w:topLinePunct w:val="0"/>
              <w:autoSpaceDE/>
              <w:autoSpaceDN/>
              <w:bidi w:val="0"/>
              <w:adjustRightInd/>
              <w:snapToGrid w:val="0"/>
              <w:spacing w:line="440" w:lineRule="exact"/>
              <w:ind w:firstLine="480" w:firstLineChars="200"/>
              <w:jc w:val="left"/>
              <w:textAlignment w:val="auto"/>
              <w:rPr>
                <w:rFonts w:hint="eastAsia" w:ascii="宋体" w:hAnsi="宋体" w:eastAsia="宋体" w:cs="宋体"/>
                <w:b/>
                <w:bCs/>
                <w:sz w:val="28"/>
                <w:szCs w:val="28"/>
                <w:highlight w:val="none"/>
                <w:lang w:eastAsia="zh-CN"/>
              </w:rPr>
            </w:pPr>
            <w:r>
              <w:rPr>
                <w:rFonts w:hint="eastAsia" w:ascii="宋体" w:hAnsi="宋体" w:eastAsia="宋体" w:cs="宋体"/>
                <w:bCs/>
                <w:color w:val="000000"/>
                <w:sz w:val="24"/>
                <w:szCs w:val="24"/>
                <w:highlight w:val="none"/>
                <w:lang w:eastAsia="zh-CN"/>
              </w:rPr>
              <w:t>本项目为固定总价合同。合同总价为本项目服务期内所包含的一切费用包括（但不限于）完成本项目所有服务人员的工资、福利费、培训费、交通费、交通工具费、通讯费、各项保险和基金、服装费、服务工具、管理费、利润及税金等与履行合同有关的一切费用以及合同明示或暗示的所有一般风险责任和义务费用，合同价在合同实施期间不因市场价格波动和各种风险因素的发生而变动。竞谈文件中所有内容涉及的费用，按常规应当包括的其它费用，一次包定,结算时不再另行追加。</w:t>
            </w:r>
          </w:p>
        </w:tc>
      </w:tr>
    </w:tbl>
    <w:p w14:paraId="6CF32237">
      <w:pPr>
        <w:spacing w:line="420" w:lineRule="exact"/>
        <w:rPr>
          <w:rStyle w:val="260"/>
          <w:rFonts w:hint="eastAsia" w:ascii="宋体" w:hAnsi="宋体" w:cs="宋体"/>
          <w:sz w:val="24"/>
        </w:rPr>
      </w:pPr>
    </w:p>
    <w:p w14:paraId="5A14C7F9">
      <w:pPr>
        <w:spacing w:line="420" w:lineRule="exact"/>
        <w:ind w:firstLine="240"/>
        <w:rPr>
          <w:rStyle w:val="260"/>
          <w:rFonts w:hint="eastAsia" w:ascii="宋体" w:hAnsi="宋体" w:cs="宋体"/>
          <w:sz w:val="24"/>
        </w:rPr>
      </w:pPr>
      <w:r>
        <w:rPr>
          <w:rStyle w:val="260"/>
          <w:rFonts w:hint="eastAsia" w:ascii="宋体" w:hAnsi="宋体" w:cs="宋体"/>
          <w:sz w:val="24"/>
        </w:rPr>
        <w:t>注：</w:t>
      </w:r>
      <w:r>
        <w:rPr>
          <w:rStyle w:val="260"/>
          <w:rFonts w:hint="eastAsia" w:ascii="宋体" w:hAnsi="宋体" w:cs="宋体"/>
          <w:sz w:val="24"/>
          <w:lang w:val="en-US"/>
        </w:rPr>
        <w:t>1</w:t>
      </w:r>
      <w:r>
        <w:rPr>
          <w:rStyle w:val="260"/>
          <w:rFonts w:hint="eastAsia" w:ascii="宋体" w:hAnsi="宋体" w:cs="宋体"/>
          <w:sz w:val="24"/>
        </w:rPr>
        <w:t>.</w:t>
      </w:r>
      <w:r>
        <w:rPr>
          <w:rFonts w:hint="eastAsia"/>
        </w:rPr>
        <w:t xml:space="preserve"> </w:t>
      </w:r>
      <w:r>
        <w:rPr>
          <w:rStyle w:val="260"/>
          <w:rFonts w:hint="eastAsia" w:ascii="宋体" w:hAnsi="宋体" w:cs="宋体"/>
          <w:sz w:val="24"/>
        </w:rPr>
        <w:t>本报价表须机打并加盖报价单位公章，手填无效。</w:t>
      </w:r>
    </w:p>
    <w:p w14:paraId="7319201B">
      <w:pPr>
        <w:spacing w:line="480" w:lineRule="exact"/>
        <w:rPr>
          <w:rStyle w:val="260"/>
          <w:rFonts w:ascii="宋体" w:hAnsi="宋体" w:cs="宋体"/>
          <w:sz w:val="24"/>
        </w:rPr>
      </w:pPr>
      <w:r>
        <w:rPr>
          <w:rStyle w:val="260"/>
          <w:rFonts w:hint="eastAsia" w:ascii="宋体" w:hAnsi="宋体" w:cs="宋体"/>
          <w:sz w:val="24"/>
        </w:rPr>
        <w:t xml:space="preserve">   </w:t>
      </w:r>
    </w:p>
    <w:p w14:paraId="32A4EED5">
      <w:pPr>
        <w:spacing w:line="440" w:lineRule="exact"/>
        <w:rPr>
          <w:rStyle w:val="260"/>
          <w:rFonts w:ascii="宋体" w:hAnsi="宋体" w:cs="宋体"/>
          <w:sz w:val="24"/>
        </w:rPr>
      </w:pPr>
    </w:p>
    <w:p w14:paraId="79254478">
      <w:pPr>
        <w:spacing w:line="440" w:lineRule="exact"/>
        <w:rPr>
          <w:rStyle w:val="260"/>
          <w:rFonts w:ascii="宋体" w:hAnsi="宋体" w:cs="宋体"/>
          <w:sz w:val="24"/>
        </w:rPr>
      </w:pPr>
      <w:r>
        <w:rPr>
          <w:rStyle w:val="260"/>
          <w:rFonts w:hint="eastAsia" w:ascii="宋体" w:hAnsi="宋体" w:cs="宋体"/>
          <w:sz w:val="24"/>
        </w:rPr>
        <w:t>投标供应商名称（盖章）：</w:t>
      </w:r>
      <w:r>
        <w:rPr>
          <w:rStyle w:val="260"/>
          <w:rFonts w:hint="eastAsia" w:ascii="宋体" w:hAnsi="宋体" w:cs="宋体"/>
          <w:sz w:val="24"/>
          <w:u w:val="single"/>
        </w:rPr>
        <w:t xml:space="preserve">                                        </w:t>
      </w:r>
      <w:r>
        <w:rPr>
          <w:rStyle w:val="260"/>
          <w:rFonts w:hint="eastAsia" w:ascii="宋体" w:hAnsi="宋体" w:cs="宋体"/>
          <w:sz w:val="24"/>
        </w:rPr>
        <w:t xml:space="preserve">        </w:t>
      </w:r>
    </w:p>
    <w:p w14:paraId="64C499CE">
      <w:pPr>
        <w:spacing w:line="440" w:lineRule="exact"/>
        <w:rPr>
          <w:rStyle w:val="260"/>
          <w:rFonts w:ascii="宋体" w:hAnsi="宋体" w:cs="宋体"/>
          <w:sz w:val="24"/>
        </w:rPr>
      </w:pPr>
      <w:r>
        <w:rPr>
          <w:rStyle w:val="260"/>
          <w:rFonts w:hint="eastAsia" w:ascii="宋体" w:hAnsi="宋体" w:cs="宋体"/>
          <w:sz w:val="24"/>
        </w:rPr>
        <w:t xml:space="preserve">         </w:t>
      </w:r>
    </w:p>
    <w:p w14:paraId="7DF0CE89">
      <w:pPr>
        <w:spacing w:line="440" w:lineRule="exact"/>
        <w:rPr>
          <w:rStyle w:val="260"/>
          <w:rFonts w:ascii="宋体" w:hAnsi="宋体" w:cs="宋体"/>
          <w:sz w:val="24"/>
        </w:rPr>
      </w:pPr>
      <w:r>
        <w:rPr>
          <w:rStyle w:val="260"/>
          <w:rFonts w:hint="eastAsia" w:ascii="宋体" w:hAnsi="宋体" w:cs="宋体"/>
          <w:sz w:val="24"/>
        </w:rPr>
        <w:t>法定代表人或被授权人（签字或盖章）：</w:t>
      </w:r>
      <w:r>
        <w:rPr>
          <w:rStyle w:val="260"/>
          <w:rFonts w:hint="eastAsia" w:ascii="宋体" w:hAnsi="宋体" w:cs="宋体"/>
          <w:sz w:val="24"/>
          <w:u w:val="single"/>
        </w:rPr>
        <w:t xml:space="preserve">                            </w:t>
      </w:r>
    </w:p>
    <w:p w14:paraId="5718A45B">
      <w:pPr>
        <w:spacing w:line="440" w:lineRule="exact"/>
        <w:rPr>
          <w:rStyle w:val="260"/>
          <w:rFonts w:ascii="宋体" w:hAnsi="宋体" w:cs="宋体"/>
          <w:sz w:val="24"/>
        </w:rPr>
      </w:pPr>
    </w:p>
    <w:p w14:paraId="449DA398">
      <w:pPr>
        <w:spacing w:line="480" w:lineRule="exact"/>
        <w:ind w:left="3585"/>
        <w:rPr>
          <w:rStyle w:val="260"/>
          <w:rFonts w:ascii="仿宋" w:hAnsi="仿宋" w:eastAsia="仿宋"/>
          <w:sz w:val="28"/>
          <w:szCs w:val="28"/>
        </w:rPr>
      </w:pPr>
      <w:r>
        <w:rPr>
          <w:rStyle w:val="260"/>
          <w:rFonts w:hint="eastAsia" w:ascii="宋体" w:hAnsi="宋体" w:cs="宋体"/>
          <w:sz w:val="24"/>
        </w:rPr>
        <w:t xml:space="preserve">        时间：  </w:t>
      </w:r>
      <w:r>
        <w:rPr>
          <w:rStyle w:val="260"/>
          <w:rFonts w:hint="eastAsia" w:ascii="宋体" w:hAnsi="宋体" w:cs="宋体"/>
          <w:sz w:val="24"/>
          <w:u w:val="single"/>
        </w:rPr>
        <w:t xml:space="preserve">        </w:t>
      </w:r>
      <w:r>
        <w:rPr>
          <w:rStyle w:val="260"/>
          <w:rFonts w:hint="eastAsia" w:ascii="宋体" w:hAnsi="宋体" w:cs="宋体"/>
          <w:sz w:val="24"/>
        </w:rPr>
        <w:t>年</w:t>
      </w:r>
      <w:r>
        <w:rPr>
          <w:rStyle w:val="260"/>
          <w:rFonts w:hint="eastAsia" w:ascii="宋体" w:hAnsi="宋体" w:cs="宋体"/>
          <w:sz w:val="24"/>
          <w:u w:val="single"/>
        </w:rPr>
        <w:t xml:space="preserve">    </w:t>
      </w:r>
      <w:r>
        <w:rPr>
          <w:rStyle w:val="260"/>
          <w:rFonts w:hint="eastAsia" w:ascii="宋体" w:hAnsi="宋体" w:cs="宋体"/>
          <w:sz w:val="24"/>
        </w:rPr>
        <w:t>月</w:t>
      </w:r>
      <w:r>
        <w:rPr>
          <w:rStyle w:val="260"/>
          <w:rFonts w:hint="eastAsia" w:ascii="宋体" w:hAnsi="宋体" w:cs="宋体"/>
          <w:sz w:val="24"/>
          <w:u w:val="single"/>
        </w:rPr>
        <w:t xml:space="preserve">    </w:t>
      </w:r>
      <w:r>
        <w:rPr>
          <w:rStyle w:val="260"/>
          <w:rFonts w:hint="eastAsia" w:ascii="宋体" w:hAnsi="宋体" w:cs="宋体"/>
          <w:sz w:val="24"/>
        </w:rPr>
        <w:t>日</w:t>
      </w:r>
    </w:p>
    <w:p w14:paraId="31294DB3">
      <w:pPr>
        <w:spacing w:line="400" w:lineRule="exact"/>
        <w:contextualSpacing/>
        <w:rPr>
          <w:rFonts w:hint="eastAsia" w:ascii="宋体" w:hAnsi="宋体" w:cs="宋体"/>
          <w:b/>
          <w:sz w:val="28"/>
          <w:szCs w:val="28"/>
        </w:rPr>
        <w:sectPr>
          <w:footerReference r:id="rId5" w:type="default"/>
          <w:footerReference r:id="rId6" w:type="even"/>
          <w:pgSz w:w="11907" w:h="16839"/>
          <w:pgMar w:top="1440" w:right="1800" w:bottom="1440" w:left="1800" w:header="737" w:footer="907" w:gutter="0"/>
          <w:pgNumType w:start="1"/>
          <w:cols w:space="720" w:num="1"/>
          <w:docGrid w:linePitch="360" w:charSpace="0"/>
        </w:sectPr>
      </w:pPr>
    </w:p>
    <w:p w14:paraId="7D1C93BF">
      <w:pPr>
        <w:widowControl/>
        <w:spacing w:before="100" w:beforeAutospacing="1" w:after="100" w:afterAutospacing="1" w:line="500" w:lineRule="atLeast"/>
        <w:rPr>
          <w:rFonts w:hint="eastAsia" w:ascii="宋体" w:hAnsi="宋体" w:cs="宋体"/>
          <w:bCs/>
          <w:sz w:val="32"/>
          <w:szCs w:val="32"/>
        </w:rPr>
      </w:pPr>
      <w:r>
        <w:rPr>
          <w:rFonts w:hint="eastAsia" w:ascii="宋体" w:hAnsi="宋体" w:cs="宋体"/>
          <w:bCs/>
          <w:sz w:val="32"/>
          <w:szCs w:val="32"/>
        </w:rPr>
        <w:t>附件</w:t>
      </w:r>
      <w:r>
        <w:rPr>
          <w:rFonts w:hint="eastAsia" w:ascii="宋体" w:hAnsi="宋体" w:cs="宋体"/>
          <w:bCs/>
          <w:sz w:val="32"/>
          <w:szCs w:val="32"/>
          <w:lang w:val="en-US" w:eastAsia="zh-CN"/>
        </w:rPr>
        <w:t>6</w:t>
      </w:r>
      <w:r>
        <w:rPr>
          <w:rFonts w:hint="eastAsia" w:ascii="宋体" w:hAnsi="宋体" w:cs="宋体"/>
          <w:bCs/>
          <w:sz w:val="32"/>
          <w:szCs w:val="32"/>
        </w:rPr>
        <w:t xml:space="preserve">              </w:t>
      </w:r>
    </w:p>
    <w:p w14:paraId="1E1074E6">
      <w:pPr>
        <w:widowControl/>
        <w:spacing w:before="100" w:beforeAutospacing="1" w:after="100" w:afterAutospacing="1" w:line="500" w:lineRule="atLeast"/>
        <w:ind w:firstLine="3213"/>
        <w:rPr>
          <w:rFonts w:hint="eastAsia" w:ascii="宋体" w:hAnsi="宋体" w:cs="宋体"/>
          <w:b/>
          <w:bCs/>
          <w:sz w:val="32"/>
          <w:szCs w:val="32"/>
        </w:rPr>
      </w:pPr>
      <w:r>
        <w:rPr>
          <w:rFonts w:hint="eastAsia" w:ascii="宋体" w:hAnsi="宋体" w:cs="宋体"/>
          <w:b/>
          <w:bCs/>
          <w:sz w:val="32"/>
          <w:szCs w:val="32"/>
        </w:rPr>
        <w:t>磋商最终报价表</w:t>
      </w:r>
    </w:p>
    <w:tbl>
      <w:tblPr>
        <w:tblStyle w:val="35"/>
        <w:tblpPr w:leftFromText="180" w:rightFromText="180" w:vertAnchor="text" w:horzAnchor="page" w:tblpX="1764" w:tblpY="253"/>
        <w:tblOverlap w:val="never"/>
        <w:tblW w:w="89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8"/>
        <w:gridCol w:w="2529"/>
        <w:gridCol w:w="1516"/>
        <w:gridCol w:w="2000"/>
        <w:gridCol w:w="2157"/>
      </w:tblGrid>
      <w:tr w14:paraId="70627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jc w:val="center"/>
        </w:trPr>
        <w:tc>
          <w:tcPr>
            <w:tcW w:w="788" w:type="dxa"/>
            <w:noWrap w:val="0"/>
            <w:vAlign w:val="center"/>
          </w:tcPr>
          <w:p w14:paraId="51D7EA1E">
            <w:pPr>
              <w:snapToGrid w:val="0"/>
              <w:jc w:val="center"/>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序号</w:t>
            </w:r>
          </w:p>
        </w:tc>
        <w:tc>
          <w:tcPr>
            <w:tcW w:w="2529" w:type="dxa"/>
            <w:noWrap w:val="0"/>
            <w:vAlign w:val="center"/>
          </w:tcPr>
          <w:p w14:paraId="5FF721C6">
            <w:pPr>
              <w:snapToGrid w:val="0"/>
              <w:jc w:val="center"/>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项目名称</w:t>
            </w:r>
          </w:p>
        </w:tc>
        <w:tc>
          <w:tcPr>
            <w:tcW w:w="1516" w:type="dxa"/>
            <w:noWrap w:val="0"/>
            <w:vAlign w:val="center"/>
          </w:tcPr>
          <w:p w14:paraId="50CCC118">
            <w:pPr>
              <w:snapToGrid w:val="0"/>
              <w:jc w:val="center"/>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服务期限</w:t>
            </w:r>
          </w:p>
        </w:tc>
        <w:tc>
          <w:tcPr>
            <w:tcW w:w="2000" w:type="dxa"/>
            <w:noWrap w:val="0"/>
            <w:vAlign w:val="center"/>
          </w:tcPr>
          <w:p w14:paraId="25A901E8">
            <w:pPr>
              <w:snapToGrid w:val="0"/>
              <w:jc w:val="center"/>
              <w:rPr>
                <w:rFonts w:hint="eastAsia" w:ascii="宋体" w:hAnsi="宋体" w:eastAsia="宋体" w:cs="宋体"/>
                <w:b/>
                <w:bCs/>
                <w:sz w:val="28"/>
                <w:szCs w:val="28"/>
                <w:highlight w:val="none"/>
                <w:lang w:eastAsia="zh-CN"/>
              </w:rPr>
            </w:pPr>
            <w:r>
              <w:rPr>
                <w:rFonts w:hint="eastAsia" w:ascii="宋体" w:hAnsi="宋体" w:eastAsia="宋体" w:cs="宋体"/>
                <w:b/>
                <w:bCs/>
                <w:sz w:val="28"/>
                <w:szCs w:val="28"/>
                <w:highlight w:val="none"/>
                <w:lang w:eastAsia="zh-CN"/>
              </w:rPr>
              <w:t>投标报价</w:t>
            </w:r>
          </w:p>
          <w:p w14:paraId="2D6652D8">
            <w:pPr>
              <w:snapToGrid w:val="0"/>
              <w:jc w:val="center"/>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（元）</w:t>
            </w:r>
          </w:p>
        </w:tc>
        <w:tc>
          <w:tcPr>
            <w:tcW w:w="2157" w:type="dxa"/>
            <w:noWrap w:val="0"/>
            <w:vAlign w:val="center"/>
          </w:tcPr>
          <w:p w14:paraId="38EE764A">
            <w:pPr>
              <w:snapToGrid w:val="0"/>
              <w:jc w:val="center"/>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备注</w:t>
            </w:r>
          </w:p>
        </w:tc>
      </w:tr>
      <w:tr w14:paraId="468659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788" w:type="dxa"/>
            <w:noWrap w:val="0"/>
            <w:vAlign w:val="center"/>
          </w:tcPr>
          <w:p w14:paraId="58DA68B6">
            <w:pPr>
              <w:snapToGrid w:val="0"/>
              <w:jc w:val="center"/>
              <w:rPr>
                <w:rFonts w:hint="eastAsia" w:ascii="宋体" w:hAnsi="宋体" w:eastAsia="宋体" w:cs="宋体"/>
                <w:bCs/>
                <w:sz w:val="24"/>
                <w:szCs w:val="24"/>
                <w:highlight w:val="none"/>
              </w:rPr>
            </w:pPr>
            <w:r>
              <w:rPr>
                <w:rFonts w:hint="eastAsia" w:ascii="宋体" w:hAnsi="宋体" w:eastAsia="宋体" w:cs="宋体"/>
                <w:bCs/>
                <w:sz w:val="24"/>
                <w:szCs w:val="24"/>
                <w:highlight w:val="none"/>
              </w:rPr>
              <w:t>1</w:t>
            </w:r>
          </w:p>
        </w:tc>
        <w:tc>
          <w:tcPr>
            <w:tcW w:w="2529" w:type="dxa"/>
            <w:noWrap w:val="0"/>
            <w:vAlign w:val="center"/>
          </w:tcPr>
          <w:p w14:paraId="6DFE692A">
            <w:pPr>
              <w:snapToGrid w:val="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2026年度启东市汇龙镇长江汇龙段江堤巡防保安服务项目</w:t>
            </w:r>
          </w:p>
        </w:tc>
        <w:tc>
          <w:tcPr>
            <w:tcW w:w="1516" w:type="dxa"/>
            <w:noWrap w:val="0"/>
            <w:vAlign w:val="center"/>
          </w:tcPr>
          <w:p w14:paraId="6F78CC34">
            <w:pPr>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一年</w:t>
            </w:r>
          </w:p>
        </w:tc>
        <w:tc>
          <w:tcPr>
            <w:tcW w:w="2000" w:type="dxa"/>
            <w:noWrap w:val="0"/>
            <w:vAlign w:val="center"/>
          </w:tcPr>
          <w:p w14:paraId="1AE46209">
            <w:pPr>
              <w:snapToGrid w:val="0"/>
              <w:jc w:val="center"/>
              <w:rPr>
                <w:rFonts w:hint="eastAsia" w:ascii="宋体" w:hAnsi="宋体" w:eastAsia="宋体" w:cs="宋体"/>
                <w:sz w:val="24"/>
                <w:szCs w:val="24"/>
                <w:highlight w:val="none"/>
              </w:rPr>
            </w:pPr>
          </w:p>
        </w:tc>
        <w:tc>
          <w:tcPr>
            <w:tcW w:w="2157" w:type="dxa"/>
            <w:noWrap w:val="0"/>
            <w:vAlign w:val="center"/>
          </w:tcPr>
          <w:p w14:paraId="62A61EF9">
            <w:pPr>
              <w:snapToGrid w:val="0"/>
              <w:jc w:val="center"/>
              <w:rPr>
                <w:rFonts w:hint="eastAsia" w:ascii="宋体" w:hAnsi="宋体" w:eastAsia="宋体" w:cs="宋体"/>
                <w:sz w:val="24"/>
                <w:szCs w:val="24"/>
                <w:highlight w:val="none"/>
              </w:rPr>
            </w:pPr>
          </w:p>
        </w:tc>
      </w:tr>
      <w:tr w14:paraId="5C32F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3317" w:type="dxa"/>
            <w:gridSpan w:val="2"/>
            <w:noWrap w:val="0"/>
            <w:vAlign w:val="center"/>
          </w:tcPr>
          <w:p w14:paraId="05CEE5E1">
            <w:pPr>
              <w:snapToGrid w:val="0"/>
              <w:jc w:val="center"/>
              <w:rPr>
                <w:rFonts w:hint="eastAsia" w:ascii="宋体" w:hAnsi="宋体" w:eastAsia="宋体" w:cs="宋体"/>
                <w:b/>
                <w:bCs/>
                <w:sz w:val="28"/>
                <w:szCs w:val="28"/>
                <w:highlight w:val="none"/>
                <w:lang w:eastAsia="zh-CN"/>
              </w:rPr>
            </w:pPr>
            <w:r>
              <w:rPr>
                <w:rFonts w:hint="eastAsia" w:ascii="宋体" w:hAnsi="宋体" w:eastAsia="宋体" w:cs="宋体"/>
                <w:b/>
                <w:bCs/>
                <w:sz w:val="28"/>
                <w:szCs w:val="28"/>
                <w:highlight w:val="none"/>
                <w:lang w:eastAsia="zh-CN"/>
              </w:rPr>
              <w:t>投标总报价</w:t>
            </w:r>
          </w:p>
        </w:tc>
        <w:tc>
          <w:tcPr>
            <w:tcW w:w="5673" w:type="dxa"/>
            <w:gridSpan w:val="3"/>
            <w:noWrap w:val="0"/>
            <w:vAlign w:val="center"/>
          </w:tcPr>
          <w:p w14:paraId="2D76A839">
            <w:pPr>
              <w:snapToGrid w:val="0"/>
              <w:jc w:val="left"/>
              <w:rPr>
                <w:rFonts w:hint="eastAsia" w:ascii="宋体" w:hAnsi="宋体" w:eastAsia="宋体" w:cs="宋体"/>
                <w:b/>
                <w:bCs/>
                <w:sz w:val="28"/>
                <w:szCs w:val="28"/>
                <w:highlight w:val="none"/>
                <w:lang w:eastAsia="zh-CN"/>
              </w:rPr>
            </w:pPr>
            <w:r>
              <w:rPr>
                <w:rFonts w:hint="eastAsia" w:ascii="宋体" w:hAnsi="宋体" w:eastAsia="宋体" w:cs="宋体"/>
                <w:b/>
                <w:bCs/>
                <w:sz w:val="28"/>
                <w:szCs w:val="28"/>
                <w:highlight w:val="none"/>
                <w:lang w:eastAsia="zh-CN"/>
              </w:rPr>
              <w:t>大写：</w:t>
            </w:r>
            <w:r>
              <w:rPr>
                <w:rFonts w:hint="eastAsia" w:ascii="宋体" w:hAnsi="宋体" w:eastAsia="宋体" w:cs="宋体"/>
                <w:b/>
                <w:bCs/>
                <w:sz w:val="28"/>
                <w:szCs w:val="28"/>
                <w:highlight w:val="none"/>
                <w:lang w:val="en-US" w:eastAsia="zh-CN"/>
              </w:rPr>
              <w:t xml:space="preserve">             </w:t>
            </w:r>
            <w:r>
              <w:rPr>
                <w:rFonts w:hint="eastAsia" w:ascii="宋体" w:hAnsi="宋体" w:eastAsia="宋体" w:cs="宋体"/>
                <w:b/>
                <w:bCs/>
                <w:sz w:val="28"/>
                <w:szCs w:val="28"/>
                <w:highlight w:val="none"/>
                <w:lang w:eastAsia="zh-CN"/>
              </w:rPr>
              <w:t>小写：</w:t>
            </w:r>
          </w:p>
        </w:tc>
      </w:tr>
      <w:tr w14:paraId="73B50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4" w:hRule="atLeast"/>
          <w:jc w:val="center"/>
        </w:trPr>
        <w:tc>
          <w:tcPr>
            <w:tcW w:w="8990" w:type="dxa"/>
            <w:gridSpan w:val="5"/>
            <w:noWrap w:val="0"/>
            <w:vAlign w:val="center"/>
          </w:tcPr>
          <w:p w14:paraId="4A26BC95">
            <w:pPr>
              <w:keepNext w:val="0"/>
              <w:keepLines w:val="0"/>
              <w:pageBreakBefore w:val="0"/>
              <w:widowControl w:val="0"/>
              <w:kinsoku/>
              <w:wordWrap/>
              <w:overflowPunct/>
              <w:topLinePunct w:val="0"/>
              <w:autoSpaceDE/>
              <w:autoSpaceDN/>
              <w:bidi w:val="0"/>
              <w:adjustRightInd/>
              <w:snapToGrid w:val="0"/>
              <w:spacing w:line="440" w:lineRule="exact"/>
              <w:ind w:firstLine="480" w:firstLineChars="200"/>
              <w:jc w:val="left"/>
              <w:textAlignment w:val="auto"/>
              <w:rPr>
                <w:rFonts w:hint="eastAsia" w:ascii="宋体" w:hAnsi="宋体" w:eastAsia="宋体" w:cs="宋体"/>
                <w:b/>
                <w:bCs/>
                <w:sz w:val="28"/>
                <w:szCs w:val="28"/>
                <w:highlight w:val="none"/>
                <w:lang w:eastAsia="zh-CN"/>
              </w:rPr>
            </w:pPr>
            <w:r>
              <w:rPr>
                <w:rFonts w:hint="eastAsia" w:ascii="宋体" w:hAnsi="宋体" w:eastAsia="宋体" w:cs="宋体"/>
                <w:bCs/>
                <w:color w:val="000000"/>
                <w:sz w:val="24"/>
                <w:szCs w:val="24"/>
                <w:highlight w:val="none"/>
                <w:lang w:eastAsia="zh-CN"/>
              </w:rPr>
              <w:t>本项目为固定总价合同。合同总价为本项目服务期内所包含的一切费用包括（但不限于）完成本项目所有服务人员的工资、福利费、培训费、交通费、交通工具费、通讯费、各项保险和基金、服装费、服务工具、管理费、利润及税金等与履行合同有关的一切费用以及合同明示或暗示的所有一般风险责任和义务费用，合同价在合同实施期间不因市场价格波动和各种风险因素的发生而变动。竞谈文件中所有内容涉及的费用，按常规应当包括的其它费用，一次包定,结算时不再另行追加。</w:t>
            </w:r>
          </w:p>
        </w:tc>
      </w:tr>
    </w:tbl>
    <w:p w14:paraId="298B06A4">
      <w:pPr>
        <w:spacing w:line="420" w:lineRule="exact"/>
        <w:ind w:firstLine="480"/>
        <w:rPr>
          <w:rStyle w:val="260"/>
          <w:rFonts w:hint="eastAsia" w:ascii="宋体" w:hAnsi="宋体" w:cs="宋体"/>
          <w:sz w:val="24"/>
        </w:rPr>
      </w:pPr>
      <w:r>
        <w:rPr>
          <w:rStyle w:val="260"/>
          <w:rFonts w:hint="eastAsia" w:ascii="宋体" w:hAnsi="宋体" w:cs="宋体"/>
          <w:sz w:val="24"/>
        </w:rPr>
        <w:t>注：</w:t>
      </w:r>
    </w:p>
    <w:p w14:paraId="45B0B790">
      <w:pPr>
        <w:spacing w:line="420" w:lineRule="exact"/>
        <w:ind w:firstLine="480"/>
        <w:rPr>
          <w:rStyle w:val="260"/>
          <w:rFonts w:hint="eastAsia" w:ascii="宋体" w:hAnsi="宋体" w:cs="宋体"/>
          <w:sz w:val="24"/>
        </w:rPr>
      </w:pPr>
      <w:r>
        <w:rPr>
          <w:rStyle w:val="260"/>
          <w:rFonts w:hint="eastAsia" w:ascii="宋体" w:hAnsi="宋体" w:cs="宋体"/>
          <w:sz w:val="24"/>
          <w:lang w:val="en-US"/>
        </w:rPr>
        <w:t>1</w:t>
      </w:r>
      <w:r>
        <w:rPr>
          <w:rStyle w:val="260"/>
          <w:rFonts w:hint="eastAsia" w:ascii="宋体" w:hAnsi="宋体" w:cs="宋体"/>
          <w:sz w:val="24"/>
        </w:rPr>
        <w:t>.</w:t>
      </w:r>
      <w:r>
        <w:rPr>
          <w:rStyle w:val="260"/>
          <w:rFonts w:hint="eastAsia" w:ascii="宋体" w:hAnsi="宋体" w:cs="宋体"/>
          <w:sz w:val="24"/>
          <w:lang w:val="en-US"/>
        </w:rPr>
        <w:t>本表为格式表，不得自行改动，必须提供。</w:t>
      </w:r>
    </w:p>
    <w:p w14:paraId="7B41DACD">
      <w:pPr>
        <w:spacing w:line="420" w:lineRule="exact"/>
        <w:ind w:firstLine="480"/>
        <w:rPr>
          <w:rStyle w:val="260"/>
          <w:rFonts w:ascii="宋体" w:hAnsi="宋体" w:cs="宋体"/>
          <w:sz w:val="24"/>
        </w:rPr>
      </w:pPr>
      <w:r>
        <w:rPr>
          <w:rStyle w:val="260"/>
          <w:rFonts w:hint="eastAsia" w:ascii="宋体" w:hAnsi="宋体" w:cs="宋体"/>
          <w:sz w:val="24"/>
          <w:lang w:val="en-US"/>
        </w:rPr>
        <w:t>2</w:t>
      </w:r>
      <w:r>
        <w:rPr>
          <w:rStyle w:val="260"/>
          <w:rFonts w:hint="eastAsia" w:ascii="宋体" w:hAnsi="宋体" w:cs="宋体"/>
          <w:sz w:val="24"/>
        </w:rPr>
        <w:t>.</w:t>
      </w:r>
      <w:r>
        <w:rPr>
          <w:rStyle w:val="260"/>
          <w:rFonts w:hint="eastAsia" w:ascii="宋体" w:hAnsi="宋体" w:cs="宋体"/>
          <w:b/>
          <w:bCs/>
          <w:sz w:val="24"/>
        </w:rPr>
        <w:t>本表需提前加盖公章，无需密封在投标文件中，投标报价请空着，将在商务技术部分评审结束后现场提交最终报价。</w:t>
      </w:r>
    </w:p>
    <w:p w14:paraId="6EF5B1B9">
      <w:pPr>
        <w:spacing w:line="440" w:lineRule="exact"/>
        <w:rPr>
          <w:rStyle w:val="260"/>
          <w:rFonts w:ascii="宋体" w:hAnsi="宋体" w:cs="宋体"/>
          <w:sz w:val="24"/>
        </w:rPr>
      </w:pPr>
    </w:p>
    <w:p w14:paraId="11849BC5">
      <w:pPr>
        <w:spacing w:line="440" w:lineRule="exact"/>
        <w:rPr>
          <w:rStyle w:val="260"/>
          <w:rFonts w:ascii="宋体" w:hAnsi="宋体" w:cs="宋体"/>
          <w:sz w:val="24"/>
        </w:rPr>
      </w:pPr>
      <w:r>
        <w:rPr>
          <w:rStyle w:val="260"/>
          <w:rFonts w:hint="eastAsia" w:ascii="宋体" w:hAnsi="宋体" w:cs="宋体"/>
          <w:sz w:val="24"/>
        </w:rPr>
        <w:t>投标供应商名称（盖章）：</w:t>
      </w:r>
      <w:r>
        <w:rPr>
          <w:rStyle w:val="260"/>
          <w:rFonts w:hint="eastAsia" w:ascii="宋体" w:hAnsi="宋体" w:cs="宋体"/>
          <w:sz w:val="24"/>
          <w:u w:val="single"/>
        </w:rPr>
        <w:t xml:space="preserve">                                        </w:t>
      </w:r>
      <w:r>
        <w:rPr>
          <w:rStyle w:val="260"/>
          <w:rFonts w:hint="eastAsia" w:ascii="宋体" w:hAnsi="宋体" w:cs="宋体"/>
          <w:sz w:val="24"/>
        </w:rPr>
        <w:t xml:space="preserve">        </w:t>
      </w:r>
    </w:p>
    <w:p w14:paraId="08056A84">
      <w:pPr>
        <w:spacing w:line="440" w:lineRule="exact"/>
        <w:rPr>
          <w:rStyle w:val="260"/>
          <w:rFonts w:ascii="宋体" w:hAnsi="宋体" w:cs="宋体"/>
          <w:sz w:val="24"/>
        </w:rPr>
      </w:pPr>
      <w:r>
        <w:rPr>
          <w:rStyle w:val="260"/>
          <w:rFonts w:hint="eastAsia" w:ascii="宋体" w:hAnsi="宋体" w:cs="宋体"/>
          <w:sz w:val="24"/>
        </w:rPr>
        <w:t xml:space="preserve">         </w:t>
      </w:r>
    </w:p>
    <w:p w14:paraId="1BF9571D">
      <w:pPr>
        <w:spacing w:line="440" w:lineRule="exact"/>
        <w:rPr>
          <w:rStyle w:val="260"/>
          <w:rFonts w:ascii="宋体" w:hAnsi="宋体" w:cs="宋体"/>
          <w:sz w:val="24"/>
        </w:rPr>
      </w:pPr>
      <w:r>
        <w:rPr>
          <w:rStyle w:val="260"/>
          <w:rFonts w:hint="eastAsia" w:ascii="宋体" w:hAnsi="宋体" w:cs="宋体"/>
          <w:sz w:val="24"/>
        </w:rPr>
        <w:t>法定代表人或被授权人（签字或盖章）：</w:t>
      </w:r>
      <w:r>
        <w:rPr>
          <w:rStyle w:val="260"/>
          <w:rFonts w:hint="eastAsia" w:ascii="宋体" w:hAnsi="宋体" w:cs="宋体"/>
          <w:sz w:val="24"/>
          <w:u w:val="single"/>
        </w:rPr>
        <w:t xml:space="preserve">                          </w:t>
      </w:r>
    </w:p>
    <w:p w14:paraId="4F198CF6">
      <w:pPr>
        <w:spacing w:line="440" w:lineRule="exact"/>
        <w:rPr>
          <w:rStyle w:val="260"/>
          <w:rFonts w:ascii="宋体" w:hAnsi="宋体" w:cs="宋体"/>
          <w:sz w:val="24"/>
        </w:rPr>
      </w:pPr>
    </w:p>
    <w:p w14:paraId="7B29EA2C">
      <w:pPr>
        <w:spacing w:line="480" w:lineRule="exact"/>
        <w:ind w:left="3585"/>
        <w:rPr>
          <w:rStyle w:val="260"/>
          <w:rFonts w:ascii="仿宋" w:hAnsi="仿宋" w:eastAsia="仿宋"/>
          <w:sz w:val="28"/>
          <w:szCs w:val="28"/>
        </w:rPr>
      </w:pPr>
      <w:r>
        <w:rPr>
          <w:rStyle w:val="260"/>
          <w:rFonts w:hint="eastAsia" w:ascii="宋体" w:hAnsi="宋体" w:cs="宋体"/>
          <w:sz w:val="24"/>
        </w:rPr>
        <w:t xml:space="preserve">        时间：  </w:t>
      </w:r>
      <w:r>
        <w:rPr>
          <w:rStyle w:val="260"/>
          <w:rFonts w:hint="eastAsia" w:ascii="宋体" w:hAnsi="宋体" w:cs="宋体"/>
          <w:sz w:val="24"/>
          <w:u w:val="single"/>
        </w:rPr>
        <w:t xml:space="preserve">        </w:t>
      </w:r>
      <w:r>
        <w:rPr>
          <w:rStyle w:val="260"/>
          <w:rFonts w:hint="eastAsia" w:ascii="宋体" w:hAnsi="宋体" w:cs="宋体"/>
          <w:sz w:val="24"/>
        </w:rPr>
        <w:t>年</w:t>
      </w:r>
      <w:r>
        <w:rPr>
          <w:rStyle w:val="260"/>
          <w:rFonts w:hint="eastAsia" w:ascii="宋体" w:hAnsi="宋体" w:cs="宋体"/>
          <w:sz w:val="24"/>
          <w:u w:val="single"/>
        </w:rPr>
        <w:t xml:space="preserve">    </w:t>
      </w:r>
      <w:r>
        <w:rPr>
          <w:rStyle w:val="260"/>
          <w:rFonts w:hint="eastAsia" w:ascii="宋体" w:hAnsi="宋体" w:cs="宋体"/>
          <w:sz w:val="24"/>
        </w:rPr>
        <w:t>月</w:t>
      </w:r>
      <w:r>
        <w:rPr>
          <w:rStyle w:val="260"/>
          <w:rFonts w:hint="eastAsia" w:ascii="宋体" w:hAnsi="宋体" w:cs="宋体"/>
          <w:sz w:val="24"/>
          <w:u w:val="single"/>
        </w:rPr>
        <w:t xml:space="preserve">    </w:t>
      </w:r>
      <w:r>
        <w:rPr>
          <w:rStyle w:val="260"/>
          <w:rFonts w:hint="eastAsia" w:ascii="宋体" w:hAnsi="宋体" w:cs="宋体"/>
          <w:sz w:val="24"/>
        </w:rPr>
        <w:t>日</w:t>
      </w:r>
    </w:p>
    <w:p w14:paraId="00483B4D">
      <w:pPr>
        <w:spacing w:line="400" w:lineRule="exact"/>
        <w:ind w:firstLine="540"/>
        <w:contextualSpacing/>
        <w:rPr>
          <w:rFonts w:hint="eastAsia" w:ascii="宋体" w:hAnsi="宋体" w:cs="宋体"/>
          <w:b/>
          <w:sz w:val="28"/>
          <w:szCs w:val="28"/>
        </w:rPr>
      </w:pPr>
    </w:p>
    <w:p w14:paraId="7FC86728">
      <w:pPr>
        <w:spacing w:line="300" w:lineRule="auto"/>
        <w:outlineLvl w:val="0"/>
        <w:rPr>
          <w:rFonts w:hint="eastAsia" w:ascii="宋体" w:hAnsi="宋体" w:cs="宋体"/>
          <w:sz w:val="32"/>
          <w:szCs w:val="32"/>
        </w:rPr>
      </w:pPr>
    </w:p>
    <w:p w14:paraId="536C344A">
      <w:pPr>
        <w:spacing w:line="300" w:lineRule="auto"/>
        <w:outlineLvl w:val="0"/>
        <w:rPr>
          <w:rFonts w:hint="eastAsia" w:ascii="宋体" w:hAnsi="宋体" w:cs="宋体"/>
          <w:sz w:val="32"/>
          <w:szCs w:val="32"/>
        </w:rPr>
      </w:pPr>
    </w:p>
    <w:p w14:paraId="25192654">
      <w:pPr>
        <w:spacing w:line="300" w:lineRule="auto"/>
        <w:outlineLvl w:val="0"/>
        <w:rPr>
          <w:rFonts w:hint="eastAsia" w:ascii="宋体" w:hAnsi="宋体" w:cs="宋体"/>
          <w:sz w:val="32"/>
          <w:szCs w:val="32"/>
        </w:rPr>
      </w:pPr>
    </w:p>
    <w:p w14:paraId="0A7CE1C9">
      <w:pPr>
        <w:spacing w:line="300" w:lineRule="auto"/>
        <w:outlineLvl w:val="0"/>
        <w:rPr>
          <w:rFonts w:hint="eastAsia" w:ascii="宋体" w:hAnsi="宋体" w:eastAsia="宋体" w:cs="宋体"/>
          <w:sz w:val="32"/>
          <w:szCs w:val="32"/>
          <w:highlight w:val="none"/>
          <w:lang w:eastAsia="zh-CN"/>
        </w:rPr>
      </w:pPr>
      <w:r>
        <w:rPr>
          <w:rFonts w:hint="eastAsia" w:ascii="宋体" w:hAnsi="宋体" w:cs="宋体"/>
          <w:sz w:val="32"/>
          <w:szCs w:val="32"/>
        </w:rPr>
        <w:t>附件</w:t>
      </w:r>
      <w:r>
        <w:rPr>
          <w:rFonts w:hint="eastAsia" w:ascii="宋体" w:hAnsi="宋体" w:cs="宋体"/>
          <w:sz w:val="32"/>
          <w:szCs w:val="32"/>
          <w:lang w:val="en-US" w:eastAsia="zh-CN"/>
        </w:rPr>
        <w:t>7</w:t>
      </w:r>
    </w:p>
    <w:p w14:paraId="6A1C7332">
      <w:pPr>
        <w:spacing w:line="300" w:lineRule="auto"/>
        <w:jc w:val="center"/>
        <w:outlineLvl w:val="0"/>
        <w:rPr>
          <w:rFonts w:hint="eastAsia" w:ascii="宋体" w:hAnsi="宋体" w:cs="宋体"/>
          <w:b/>
          <w:bCs/>
          <w:sz w:val="28"/>
          <w:szCs w:val="28"/>
          <w:lang w:bidi="zh-CN"/>
        </w:rPr>
      </w:pPr>
      <w:r>
        <w:rPr>
          <w:rFonts w:hint="eastAsia" w:ascii="宋体" w:hAnsi="宋体" w:cs="宋体"/>
          <w:b/>
          <w:bCs/>
          <w:sz w:val="28"/>
          <w:szCs w:val="28"/>
          <w:lang w:bidi="zh-CN"/>
        </w:rPr>
        <w:t>中小企业声明函（工程、服务）</w:t>
      </w:r>
    </w:p>
    <w:p w14:paraId="3952CFF7">
      <w:pPr>
        <w:spacing w:line="360" w:lineRule="auto"/>
        <w:ind w:firstLine="560"/>
        <w:outlineLvl w:val="0"/>
        <w:rPr>
          <w:rFonts w:hint="eastAsia" w:ascii="宋体" w:hAnsi="宋体" w:cs="宋体"/>
          <w:sz w:val="28"/>
          <w:szCs w:val="28"/>
          <w:lang w:bidi="zh-CN"/>
        </w:rPr>
      </w:pPr>
      <w:r>
        <w:rPr>
          <w:rFonts w:hint="eastAsia" w:ascii="宋体" w:hAnsi="宋体" w:cs="宋体"/>
          <w:sz w:val="28"/>
          <w:szCs w:val="28"/>
          <w:lang w:bidi="zh-CN"/>
        </w:rPr>
        <w:t>本公司（联合体）郑重声明，根据《政府采购促进中小企业发展管理办法》（财库﹝2020﹞46 号）的规定，本公司（联合体）参加</w:t>
      </w:r>
      <w:r>
        <w:rPr>
          <w:rFonts w:hint="eastAsia" w:ascii="宋体" w:hAnsi="宋体" w:cs="宋体"/>
          <w:sz w:val="28"/>
          <w:szCs w:val="28"/>
          <w:u w:val="single"/>
          <w:lang w:bidi="zh-CN"/>
        </w:rPr>
        <w:t>（单位名称）</w:t>
      </w:r>
      <w:r>
        <w:rPr>
          <w:rFonts w:hint="eastAsia" w:ascii="宋体" w:hAnsi="宋体" w:cs="宋体"/>
          <w:sz w:val="28"/>
          <w:szCs w:val="28"/>
          <w:lang w:bidi="zh-CN"/>
        </w:rPr>
        <w:t>的</w:t>
      </w:r>
      <w:r>
        <w:rPr>
          <w:rFonts w:hint="eastAsia" w:ascii="宋体" w:hAnsi="宋体" w:cs="宋体"/>
          <w:sz w:val="28"/>
          <w:szCs w:val="28"/>
          <w:u w:val="single"/>
          <w:lang w:bidi="zh-CN"/>
        </w:rPr>
        <w:t>（项目名称）</w:t>
      </w:r>
      <w:r>
        <w:rPr>
          <w:rFonts w:hint="eastAsia" w:ascii="宋体" w:hAnsi="宋体" w:cs="宋体"/>
          <w:sz w:val="28"/>
          <w:szCs w:val="28"/>
          <w:lang w:bidi="zh-CN"/>
        </w:rPr>
        <w:t>采购活动，工程的施工单位全部为符合政策要求的中小企业（或者：服务全部由符合政策要求的中小企业承接）。相关企业（含联合 体中的中小企业、签订分包意向协议的中小企业）的具体情况如下：</w:t>
      </w:r>
    </w:p>
    <w:p w14:paraId="3A986F97">
      <w:pPr>
        <w:spacing w:line="360" w:lineRule="auto"/>
        <w:jc w:val="left"/>
        <w:outlineLvl w:val="0"/>
        <w:rPr>
          <w:rFonts w:hint="eastAsia" w:ascii="宋体" w:hAnsi="宋体" w:cs="宋体"/>
          <w:sz w:val="28"/>
          <w:szCs w:val="28"/>
          <w:lang w:bidi="zh-CN"/>
        </w:rPr>
      </w:pPr>
      <w:r>
        <w:rPr>
          <w:rFonts w:hint="eastAsia" w:ascii="宋体" w:hAnsi="宋体" w:cs="宋体"/>
          <w:sz w:val="28"/>
          <w:szCs w:val="28"/>
          <w:lang w:bidi="zh-CN"/>
        </w:rPr>
        <w:t>1.</w:t>
      </w:r>
      <w:r>
        <w:rPr>
          <w:rFonts w:hint="eastAsia" w:ascii="宋体" w:hAnsi="宋体" w:cs="宋体"/>
          <w:sz w:val="28"/>
          <w:szCs w:val="28"/>
          <w:u w:val="single"/>
          <w:lang w:bidi="zh-CN"/>
        </w:rPr>
        <w:t>（标的名称）</w:t>
      </w:r>
      <w:r>
        <w:rPr>
          <w:rFonts w:hint="eastAsia" w:ascii="宋体" w:hAnsi="宋体" w:cs="宋体"/>
          <w:sz w:val="28"/>
          <w:szCs w:val="28"/>
          <w:lang w:bidi="zh-CN"/>
        </w:rPr>
        <w:t>，属于（</w:t>
      </w:r>
      <w:r>
        <w:rPr>
          <w:rFonts w:hint="eastAsia" w:ascii="宋体" w:hAnsi="宋体" w:cs="宋体"/>
          <w:sz w:val="28"/>
          <w:szCs w:val="28"/>
          <w:u w:val="single"/>
          <w:lang w:bidi="zh-CN"/>
        </w:rPr>
        <w:t>采购文件中明确的所属行业）</w:t>
      </w:r>
      <w:r>
        <w:rPr>
          <w:rFonts w:hint="eastAsia" w:ascii="宋体" w:hAnsi="宋体" w:cs="宋体"/>
          <w:sz w:val="28"/>
          <w:szCs w:val="28"/>
          <w:lang w:bidi="zh-CN"/>
        </w:rPr>
        <w:t>；承建（承接）企业为</w:t>
      </w:r>
      <w:r>
        <w:rPr>
          <w:rFonts w:hint="eastAsia" w:ascii="宋体" w:hAnsi="宋体" w:cs="宋体"/>
          <w:sz w:val="28"/>
          <w:szCs w:val="28"/>
          <w:u w:val="single"/>
          <w:lang w:bidi="zh-CN"/>
        </w:rPr>
        <w:t>（企业名称）</w:t>
      </w:r>
      <w:r>
        <w:rPr>
          <w:rFonts w:hint="eastAsia" w:ascii="宋体" w:hAnsi="宋体" w:cs="宋体"/>
          <w:sz w:val="28"/>
          <w:szCs w:val="28"/>
          <w:lang w:bidi="zh-CN"/>
        </w:rPr>
        <w:t>，从业人员</w:t>
      </w:r>
      <w:r>
        <w:rPr>
          <w:rFonts w:hint="eastAsia" w:ascii="宋体" w:hAnsi="宋体" w:cs="宋体"/>
          <w:sz w:val="28"/>
          <w:szCs w:val="28"/>
          <w:u w:val="single"/>
          <w:lang w:bidi="zh-CN"/>
        </w:rPr>
        <w:t xml:space="preserve"> </w:t>
      </w:r>
      <w:r>
        <w:rPr>
          <w:rFonts w:hint="eastAsia" w:ascii="宋体" w:hAnsi="宋体" w:cs="宋体"/>
          <w:sz w:val="28"/>
          <w:szCs w:val="28"/>
          <w:u w:val="single"/>
          <w:lang w:bidi="zh-CN"/>
        </w:rPr>
        <w:tab/>
      </w:r>
      <w:r>
        <w:rPr>
          <w:rFonts w:hint="eastAsia" w:ascii="宋体" w:hAnsi="宋体" w:cs="宋体"/>
          <w:sz w:val="28"/>
          <w:szCs w:val="28"/>
          <w:lang w:bidi="zh-CN"/>
        </w:rPr>
        <w:t>人，营业收入为</w:t>
      </w:r>
      <w:r>
        <w:rPr>
          <w:rFonts w:hint="eastAsia" w:ascii="宋体" w:hAnsi="宋体" w:cs="宋体"/>
          <w:sz w:val="28"/>
          <w:szCs w:val="28"/>
          <w:u w:val="single"/>
          <w:lang w:bidi="zh-CN"/>
        </w:rPr>
        <w:t xml:space="preserve"> </w:t>
      </w:r>
      <w:r>
        <w:rPr>
          <w:rFonts w:hint="eastAsia" w:ascii="宋体" w:hAnsi="宋体" w:cs="宋体"/>
          <w:sz w:val="28"/>
          <w:szCs w:val="28"/>
          <w:u w:val="single"/>
          <w:lang w:bidi="zh-CN"/>
        </w:rPr>
        <w:tab/>
      </w:r>
      <w:r>
        <w:rPr>
          <w:rFonts w:hint="eastAsia" w:ascii="宋体" w:hAnsi="宋体" w:cs="宋体"/>
          <w:sz w:val="28"/>
          <w:szCs w:val="28"/>
          <w:lang w:bidi="zh-CN"/>
        </w:rPr>
        <w:t>万元，资产总额为</w:t>
      </w:r>
      <w:r>
        <w:rPr>
          <w:rFonts w:hint="eastAsia" w:ascii="宋体" w:hAnsi="宋体" w:cs="宋体"/>
          <w:sz w:val="28"/>
          <w:szCs w:val="28"/>
          <w:u w:val="single"/>
          <w:lang w:bidi="zh-CN"/>
        </w:rPr>
        <w:t xml:space="preserve"> </w:t>
      </w:r>
      <w:r>
        <w:rPr>
          <w:rFonts w:hint="eastAsia" w:ascii="宋体" w:hAnsi="宋体" w:cs="宋体"/>
          <w:sz w:val="28"/>
          <w:szCs w:val="28"/>
          <w:u w:val="single"/>
          <w:lang w:bidi="zh-CN"/>
        </w:rPr>
        <w:tab/>
      </w:r>
      <w:r>
        <w:rPr>
          <w:rFonts w:hint="eastAsia" w:ascii="宋体" w:hAnsi="宋体" w:cs="宋体"/>
          <w:sz w:val="28"/>
          <w:szCs w:val="28"/>
          <w:lang w:bidi="zh-CN"/>
        </w:rPr>
        <w:t>万元，属于</w:t>
      </w:r>
      <w:r>
        <w:rPr>
          <w:rFonts w:hint="eastAsia" w:ascii="宋体" w:hAnsi="宋体" w:cs="宋体"/>
          <w:sz w:val="28"/>
          <w:szCs w:val="28"/>
          <w:u w:val="single"/>
          <w:lang w:bidi="zh-CN"/>
        </w:rPr>
        <w:t>（中型企业、小型企业、微型企业）</w:t>
      </w:r>
      <w:r>
        <w:rPr>
          <w:rFonts w:hint="eastAsia" w:ascii="宋体" w:hAnsi="宋体" w:cs="宋体"/>
          <w:sz w:val="28"/>
          <w:szCs w:val="28"/>
          <w:lang w:bidi="zh-CN"/>
        </w:rPr>
        <w:t>；</w:t>
      </w:r>
    </w:p>
    <w:p w14:paraId="298F8D08">
      <w:pPr>
        <w:spacing w:line="360" w:lineRule="auto"/>
        <w:jc w:val="left"/>
        <w:outlineLvl w:val="0"/>
        <w:rPr>
          <w:rFonts w:hint="eastAsia" w:ascii="宋体" w:hAnsi="宋体" w:cs="宋体"/>
          <w:sz w:val="28"/>
          <w:szCs w:val="28"/>
          <w:lang w:bidi="zh-CN"/>
        </w:rPr>
      </w:pPr>
      <w:r>
        <w:rPr>
          <w:rFonts w:hint="eastAsia" w:ascii="宋体" w:hAnsi="宋体" w:cs="宋体"/>
          <w:sz w:val="28"/>
          <w:szCs w:val="28"/>
          <w:lang w:bidi="zh-CN"/>
        </w:rPr>
        <w:t>2.</w:t>
      </w:r>
      <w:r>
        <w:rPr>
          <w:rFonts w:hint="eastAsia" w:ascii="宋体" w:hAnsi="宋体" w:cs="宋体"/>
          <w:sz w:val="28"/>
          <w:szCs w:val="28"/>
          <w:u w:val="single"/>
          <w:lang w:bidi="zh-CN"/>
        </w:rPr>
        <w:t>（标的名称）</w:t>
      </w:r>
      <w:r>
        <w:rPr>
          <w:rFonts w:hint="eastAsia" w:ascii="宋体" w:hAnsi="宋体" w:cs="宋体"/>
          <w:sz w:val="28"/>
          <w:szCs w:val="28"/>
          <w:lang w:bidi="zh-CN"/>
        </w:rPr>
        <w:t>，属于（</w:t>
      </w:r>
      <w:r>
        <w:rPr>
          <w:rFonts w:hint="eastAsia" w:ascii="宋体" w:hAnsi="宋体" w:cs="宋体"/>
          <w:sz w:val="28"/>
          <w:szCs w:val="28"/>
          <w:u w:val="single"/>
          <w:lang w:bidi="zh-CN"/>
        </w:rPr>
        <w:t>采购文件中明确的所属行业）</w:t>
      </w:r>
      <w:r>
        <w:rPr>
          <w:rFonts w:hint="eastAsia" w:ascii="宋体" w:hAnsi="宋体" w:cs="宋体"/>
          <w:sz w:val="28"/>
          <w:szCs w:val="28"/>
          <w:lang w:bidi="zh-CN"/>
        </w:rPr>
        <w:t>；承建（承接）企业为</w:t>
      </w:r>
      <w:r>
        <w:rPr>
          <w:rFonts w:hint="eastAsia" w:ascii="宋体" w:hAnsi="宋体" w:cs="宋体"/>
          <w:sz w:val="28"/>
          <w:szCs w:val="28"/>
          <w:u w:val="single"/>
          <w:lang w:bidi="zh-CN"/>
        </w:rPr>
        <w:t>（企业名称）</w:t>
      </w:r>
      <w:r>
        <w:rPr>
          <w:rFonts w:hint="eastAsia" w:ascii="宋体" w:hAnsi="宋体" w:cs="宋体"/>
          <w:sz w:val="28"/>
          <w:szCs w:val="28"/>
          <w:lang w:bidi="zh-CN"/>
        </w:rPr>
        <w:t>，从业人员</w:t>
      </w:r>
      <w:r>
        <w:rPr>
          <w:rFonts w:hint="eastAsia" w:ascii="宋体" w:hAnsi="宋体" w:cs="宋体"/>
          <w:sz w:val="28"/>
          <w:szCs w:val="28"/>
          <w:u w:val="single"/>
          <w:lang w:bidi="zh-CN"/>
        </w:rPr>
        <w:t xml:space="preserve"> </w:t>
      </w:r>
      <w:r>
        <w:rPr>
          <w:rFonts w:hint="eastAsia" w:ascii="宋体" w:hAnsi="宋体" w:cs="宋体"/>
          <w:sz w:val="28"/>
          <w:szCs w:val="28"/>
          <w:u w:val="single"/>
          <w:lang w:bidi="zh-CN"/>
        </w:rPr>
        <w:tab/>
      </w:r>
      <w:r>
        <w:rPr>
          <w:rFonts w:hint="eastAsia" w:ascii="宋体" w:hAnsi="宋体" w:cs="宋体"/>
          <w:sz w:val="28"/>
          <w:szCs w:val="28"/>
          <w:lang w:bidi="zh-CN"/>
        </w:rPr>
        <w:t>人，营业收入为</w:t>
      </w:r>
      <w:r>
        <w:rPr>
          <w:rFonts w:hint="eastAsia" w:ascii="宋体" w:hAnsi="宋体" w:cs="宋体"/>
          <w:sz w:val="28"/>
          <w:szCs w:val="28"/>
          <w:u w:val="single"/>
          <w:lang w:bidi="zh-CN"/>
        </w:rPr>
        <w:t xml:space="preserve"> </w:t>
      </w:r>
      <w:r>
        <w:rPr>
          <w:rFonts w:hint="eastAsia" w:ascii="宋体" w:hAnsi="宋体" w:cs="宋体"/>
          <w:sz w:val="28"/>
          <w:szCs w:val="28"/>
          <w:u w:val="single"/>
          <w:lang w:bidi="zh-CN"/>
        </w:rPr>
        <w:tab/>
      </w:r>
      <w:r>
        <w:rPr>
          <w:rFonts w:hint="eastAsia" w:ascii="宋体" w:hAnsi="宋体" w:cs="宋体"/>
          <w:sz w:val="28"/>
          <w:szCs w:val="28"/>
          <w:lang w:bidi="zh-CN"/>
        </w:rPr>
        <w:t>万元，资产总额为</w:t>
      </w:r>
      <w:r>
        <w:rPr>
          <w:rFonts w:hint="eastAsia" w:ascii="宋体" w:hAnsi="宋体" w:cs="宋体"/>
          <w:sz w:val="28"/>
          <w:szCs w:val="28"/>
          <w:u w:val="single"/>
          <w:lang w:bidi="zh-CN"/>
        </w:rPr>
        <w:t xml:space="preserve"> </w:t>
      </w:r>
      <w:r>
        <w:rPr>
          <w:rFonts w:hint="eastAsia" w:ascii="宋体" w:hAnsi="宋体" w:cs="宋体"/>
          <w:sz w:val="28"/>
          <w:szCs w:val="28"/>
          <w:u w:val="single"/>
          <w:lang w:bidi="zh-CN"/>
        </w:rPr>
        <w:tab/>
      </w:r>
      <w:r>
        <w:rPr>
          <w:rFonts w:hint="eastAsia" w:ascii="宋体" w:hAnsi="宋体" w:cs="宋体"/>
          <w:sz w:val="28"/>
          <w:szCs w:val="28"/>
          <w:lang w:bidi="zh-CN"/>
        </w:rPr>
        <w:t>万元，属于</w:t>
      </w:r>
      <w:r>
        <w:rPr>
          <w:rFonts w:hint="eastAsia" w:ascii="宋体" w:hAnsi="宋体" w:cs="宋体"/>
          <w:sz w:val="28"/>
          <w:szCs w:val="28"/>
          <w:u w:val="single"/>
          <w:lang w:bidi="zh-CN"/>
        </w:rPr>
        <w:t>（中型企业、小型企业、微型企业）</w:t>
      </w:r>
      <w:r>
        <w:rPr>
          <w:rFonts w:hint="eastAsia" w:ascii="宋体" w:hAnsi="宋体" w:cs="宋体"/>
          <w:sz w:val="28"/>
          <w:szCs w:val="28"/>
          <w:lang w:bidi="zh-CN"/>
        </w:rPr>
        <w:t>；</w:t>
      </w:r>
    </w:p>
    <w:p w14:paraId="59FE4A8C">
      <w:pPr>
        <w:spacing w:line="360" w:lineRule="auto"/>
        <w:jc w:val="left"/>
        <w:outlineLvl w:val="0"/>
        <w:rPr>
          <w:rFonts w:hint="eastAsia" w:ascii="宋体" w:hAnsi="宋体" w:cs="宋体"/>
          <w:sz w:val="28"/>
          <w:szCs w:val="28"/>
          <w:lang w:bidi="zh-CN"/>
        </w:rPr>
      </w:pPr>
      <w:r>
        <w:rPr>
          <w:rFonts w:hint="eastAsia" w:ascii="宋体" w:hAnsi="宋体" w:cs="宋体"/>
          <w:sz w:val="28"/>
          <w:szCs w:val="28"/>
          <w:lang w:bidi="zh-CN"/>
        </w:rPr>
        <w:t>……</w:t>
      </w:r>
    </w:p>
    <w:p w14:paraId="53963AB2">
      <w:pPr>
        <w:spacing w:line="360" w:lineRule="auto"/>
        <w:ind w:firstLine="560"/>
        <w:outlineLvl w:val="0"/>
        <w:rPr>
          <w:rFonts w:hint="eastAsia" w:ascii="宋体" w:hAnsi="宋体" w:cs="宋体"/>
          <w:sz w:val="28"/>
          <w:szCs w:val="28"/>
          <w:lang w:bidi="zh-CN"/>
        </w:rPr>
      </w:pPr>
      <w:r>
        <w:rPr>
          <w:rFonts w:hint="eastAsia" w:ascii="宋体" w:hAnsi="宋体" w:cs="宋体"/>
          <w:sz w:val="28"/>
          <w:szCs w:val="28"/>
          <w:lang w:bidi="zh-CN"/>
        </w:rPr>
        <w:t>以上企业，不属于大企业的分支机构，不存在控股股东为大企业的情形，也不存在与大企业的负责人为同一人的情形。</w:t>
      </w:r>
    </w:p>
    <w:p w14:paraId="7BF81B46">
      <w:pPr>
        <w:spacing w:line="360" w:lineRule="auto"/>
        <w:ind w:firstLine="560"/>
        <w:outlineLvl w:val="0"/>
        <w:rPr>
          <w:rFonts w:hint="eastAsia" w:ascii="宋体" w:hAnsi="宋体" w:cs="宋体"/>
          <w:sz w:val="28"/>
          <w:szCs w:val="28"/>
          <w:lang w:bidi="zh-CN"/>
        </w:rPr>
      </w:pPr>
      <w:r>
        <w:rPr>
          <w:rFonts w:hint="eastAsia" w:ascii="宋体" w:hAnsi="宋体" w:cs="宋体"/>
          <w:sz w:val="28"/>
          <w:szCs w:val="28"/>
          <w:lang w:bidi="zh-CN"/>
        </w:rPr>
        <w:t>本企业对上述声明内容的真实性负责。如有虚假，将依法承担相应责任。</w:t>
      </w:r>
    </w:p>
    <w:p w14:paraId="10A7A59E">
      <w:pPr>
        <w:spacing w:line="300" w:lineRule="auto"/>
        <w:outlineLvl w:val="0"/>
        <w:rPr>
          <w:rFonts w:hint="eastAsia" w:ascii="宋体" w:hAnsi="宋体" w:cs="宋体"/>
          <w:szCs w:val="21"/>
          <w:lang w:bidi="zh-CN"/>
        </w:rPr>
      </w:pPr>
      <w:r>
        <w:rPr>
          <w:rFonts w:hint="eastAsia" w:ascii="宋体" w:hAnsi="宋体" w:cs="宋体"/>
          <w:szCs w:val="21"/>
          <w:lang w:bidi="zh-CN"/>
        </w:rPr>
        <w:t>注：1.如项目属性为“服务”或“工程”，请按本表填写。</w:t>
      </w:r>
    </w:p>
    <w:p w14:paraId="2DAAA87A">
      <w:pPr>
        <w:spacing w:line="300" w:lineRule="auto"/>
        <w:ind w:firstLine="420"/>
        <w:outlineLvl w:val="0"/>
        <w:rPr>
          <w:rFonts w:hint="eastAsia" w:ascii="宋体" w:hAnsi="宋体" w:cs="宋体"/>
          <w:szCs w:val="21"/>
          <w:lang w:bidi="zh-CN"/>
        </w:rPr>
      </w:pPr>
      <w:r>
        <w:rPr>
          <w:rFonts w:hint="eastAsia" w:ascii="宋体" w:hAnsi="宋体" w:cs="宋体"/>
          <w:szCs w:val="21"/>
          <w:lang w:bidi="zh-CN"/>
        </w:rPr>
        <w:t>2.从业人员、营业收入、资产总额填报上一年度数据，无上一年度数据的新成立企业可不填报。</w:t>
      </w:r>
    </w:p>
    <w:p w14:paraId="635ABEA1">
      <w:pPr>
        <w:spacing w:line="300" w:lineRule="auto"/>
        <w:ind w:firstLine="420"/>
        <w:outlineLvl w:val="0"/>
        <w:rPr>
          <w:rFonts w:hint="eastAsia" w:ascii="宋体" w:hAnsi="宋体" w:cs="宋体"/>
          <w:sz w:val="28"/>
          <w:szCs w:val="28"/>
          <w:lang w:bidi="zh-CN"/>
        </w:rPr>
      </w:pPr>
      <w:r>
        <w:rPr>
          <w:rFonts w:hint="eastAsia" w:ascii="宋体" w:hAnsi="宋体" w:cs="宋体"/>
          <w:szCs w:val="21"/>
          <w:lang w:bidi="zh-CN"/>
        </w:rPr>
        <w:t>3.中标（成交）供应商的《中小企业声明函》将随中标（成交）结果公告进行公示。供应商按照本办法规定提供声明函内容不实的，属于提供虚假材料谋取中标、成交，依照《中华人民共和国政府采购法》等国家有关规定追究相应责任。</w:t>
      </w:r>
    </w:p>
    <w:p w14:paraId="78712CEA">
      <w:pPr>
        <w:spacing w:line="300" w:lineRule="auto"/>
        <w:ind w:firstLine="4900"/>
        <w:outlineLvl w:val="0"/>
        <w:rPr>
          <w:rFonts w:hint="eastAsia" w:ascii="宋体" w:hAnsi="宋体" w:cs="宋体"/>
          <w:sz w:val="28"/>
          <w:szCs w:val="28"/>
          <w:lang w:bidi="zh-CN"/>
        </w:rPr>
      </w:pPr>
      <w:r>
        <w:rPr>
          <w:rFonts w:hint="eastAsia" w:ascii="宋体" w:hAnsi="宋体" w:cs="宋体"/>
          <w:sz w:val="28"/>
          <w:szCs w:val="28"/>
          <w:lang w:bidi="zh-CN"/>
        </w:rPr>
        <w:t>企业名称（盖章）：</w:t>
      </w:r>
    </w:p>
    <w:p w14:paraId="5C1C28C2">
      <w:pPr>
        <w:spacing w:line="300" w:lineRule="auto"/>
        <w:ind w:firstLine="4900"/>
        <w:outlineLvl w:val="0"/>
        <w:rPr>
          <w:rFonts w:hint="eastAsia" w:ascii="宋体" w:hAnsi="宋体" w:cs="宋体"/>
          <w:sz w:val="28"/>
          <w:szCs w:val="28"/>
          <w:lang w:bidi="zh-CN"/>
        </w:rPr>
      </w:pPr>
      <w:r>
        <w:rPr>
          <w:rFonts w:hint="eastAsia" w:ascii="宋体" w:hAnsi="宋体" w:cs="宋体"/>
          <w:sz w:val="28"/>
          <w:szCs w:val="28"/>
          <w:lang w:bidi="zh-CN"/>
        </w:rPr>
        <w:t>日期：</w:t>
      </w:r>
    </w:p>
    <w:p w14:paraId="672990D8">
      <w:pPr>
        <w:spacing w:line="300" w:lineRule="auto"/>
        <w:outlineLvl w:val="0"/>
        <w:rPr>
          <w:rFonts w:hint="eastAsia" w:ascii="宋体" w:hAnsi="宋体" w:cs="宋体"/>
          <w:sz w:val="32"/>
          <w:szCs w:val="32"/>
        </w:rPr>
      </w:pPr>
    </w:p>
    <w:p w14:paraId="2713F693">
      <w:pPr>
        <w:spacing w:line="300" w:lineRule="auto"/>
        <w:outlineLvl w:val="0"/>
        <w:rPr>
          <w:rFonts w:hint="eastAsia" w:ascii="宋体" w:hAnsi="宋体" w:eastAsia="宋体" w:cs="宋体"/>
          <w:sz w:val="32"/>
          <w:szCs w:val="32"/>
          <w:lang w:eastAsia="zh-CN"/>
        </w:rPr>
      </w:pPr>
      <w:r>
        <w:rPr>
          <w:rFonts w:hint="eastAsia" w:ascii="宋体" w:hAnsi="宋体" w:cs="宋体"/>
          <w:sz w:val="32"/>
          <w:szCs w:val="32"/>
        </w:rPr>
        <w:t>附件</w:t>
      </w:r>
      <w:r>
        <w:rPr>
          <w:rFonts w:hint="eastAsia" w:ascii="宋体" w:hAnsi="宋体" w:cs="宋体"/>
          <w:sz w:val="32"/>
          <w:szCs w:val="32"/>
          <w:lang w:val="en-US" w:eastAsia="zh-CN"/>
        </w:rPr>
        <w:t>8</w:t>
      </w:r>
    </w:p>
    <w:p w14:paraId="3F90EE14">
      <w:pPr>
        <w:spacing w:line="460" w:lineRule="exact"/>
        <w:jc w:val="center"/>
        <w:rPr>
          <w:rFonts w:hint="eastAsia" w:ascii="宋体" w:hAnsi="宋体" w:cs="宋体"/>
          <w:b/>
          <w:sz w:val="32"/>
          <w:szCs w:val="32"/>
        </w:rPr>
      </w:pPr>
      <w:r>
        <w:rPr>
          <w:rFonts w:hint="eastAsia" w:ascii="宋体" w:hAnsi="宋体" w:cs="宋体"/>
          <w:b/>
          <w:sz w:val="32"/>
          <w:szCs w:val="32"/>
        </w:rPr>
        <w:t>残疾人福利性单位声明函</w:t>
      </w:r>
    </w:p>
    <w:p w14:paraId="36195436">
      <w:pPr>
        <w:spacing w:line="588" w:lineRule="exact"/>
        <w:ind w:firstLine="560"/>
        <w:rPr>
          <w:rFonts w:hint="eastAsia" w:ascii="宋体" w:hAnsi="宋体" w:cs="宋体"/>
          <w:sz w:val="28"/>
          <w:szCs w:val="28"/>
        </w:rPr>
      </w:pPr>
      <w:r>
        <w:rPr>
          <w:rFonts w:hint="eastAsia" w:ascii="宋体" w:hAnsi="宋体" w:cs="宋体"/>
          <w:sz w:val="28"/>
          <w:szCs w:val="28"/>
        </w:rPr>
        <w:t>本单位郑重声明，根据《财政部 民政部 中国残疾人联合会关于促进残疾人就业政府采购政策的通知》（财库〔2017〕141号）的规定，本单位为符合条件的残疾人福利性单位，且本单位参加______单位的项目编号为______的</w:t>
      </w:r>
      <w:r>
        <w:rPr>
          <w:rFonts w:hint="eastAsia" w:ascii="宋体" w:hAnsi="宋体" w:cs="宋体"/>
          <w:sz w:val="28"/>
          <w:szCs w:val="28"/>
          <w:u w:val="single"/>
        </w:rPr>
        <w:t xml:space="preserve">       </w:t>
      </w:r>
      <w:r>
        <w:rPr>
          <w:rFonts w:hint="eastAsia" w:ascii="宋体" w:hAnsi="宋体" w:cs="宋体"/>
          <w:sz w:val="28"/>
          <w:szCs w:val="28"/>
        </w:rPr>
        <w:t>项目采购活动提供本单位制造的货物（由本单位承担工程/提供服务），或者提供其他残疾人福利性单位制造的货物（不包括使用非残疾人福利性单位注册商标的货物）。</w:t>
      </w:r>
    </w:p>
    <w:p w14:paraId="27323F4E">
      <w:pPr>
        <w:spacing w:line="588" w:lineRule="exact"/>
        <w:ind w:firstLine="560"/>
        <w:rPr>
          <w:rFonts w:hint="eastAsia" w:ascii="宋体" w:hAnsi="宋体" w:cs="宋体"/>
          <w:sz w:val="28"/>
          <w:szCs w:val="28"/>
        </w:rPr>
      </w:pPr>
      <w:r>
        <w:rPr>
          <w:rFonts w:hint="eastAsia" w:ascii="宋体" w:hAnsi="宋体" w:cs="宋体"/>
          <w:sz w:val="28"/>
          <w:szCs w:val="28"/>
        </w:rPr>
        <w:t>本单位对上述声明的真实性负责。如有虚假，将依法承担相应责任。</w:t>
      </w:r>
    </w:p>
    <w:p w14:paraId="686018BE">
      <w:pPr>
        <w:spacing w:line="588" w:lineRule="exact"/>
        <w:ind w:firstLine="560"/>
        <w:rPr>
          <w:rFonts w:hint="eastAsia" w:ascii="宋体" w:hAnsi="宋体" w:cs="宋体"/>
          <w:sz w:val="28"/>
          <w:szCs w:val="28"/>
        </w:rPr>
      </w:pPr>
    </w:p>
    <w:p w14:paraId="71944426">
      <w:pPr>
        <w:spacing w:line="300" w:lineRule="auto"/>
        <w:outlineLvl w:val="0"/>
        <w:rPr>
          <w:rFonts w:hint="eastAsia" w:ascii="宋体" w:hAnsi="宋体" w:cs="宋体"/>
          <w:sz w:val="28"/>
          <w:szCs w:val="28"/>
          <w:highlight w:val="green"/>
          <w:lang w:bidi="zh-CN"/>
        </w:rPr>
      </w:pPr>
    </w:p>
    <w:p w14:paraId="30FF01BD">
      <w:pPr>
        <w:spacing w:line="300" w:lineRule="auto"/>
        <w:outlineLvl w:val="0"/>
        <w:rPr>
          <w:rFonts w:hint="eastAsia" w:ascii="宋体" w:hAnsi="宋体" w:cs="宋体"/>
          <w:sz w:val="28"/>
          <w:szCs w:val="28"/>
          <w:lang w:bidi="zh-CN"/>
        </w:rPr>
      </w:pPr>
      <w:r>
        <w:rPr>
          <w:rFonts w:hint="eastAsia" w:ascii="宋体" w:hAnsi="宋体" w:cs="宋体"/>
          <w:sz w:val="28"/>
          <w:szCs w:val="28"/>
          <w:lang w:bidi="zh-CN"/>
        </w:rPr>
        <w:t>注：1、供应商如不提供此声明函，价格将不做相应扣除。</w:t>
      </w:r>
    </w:p>
    <w:p w14:paraId="579B4068">
      <w:pPr>
        <w:spacing w:line="588" w:lineRule="exact"/>
        <w:ind w:firstLine="560"/>
        <w:rPr>
          <w:rFonts w:hint="eastAsia" w:ascii="宋体" w:hAnsi="宋体" w:cs="宋体"/>
          <w:spacing w:val="6"/>
          <w:sz w:val="28"/>
          <w:szCs w:val="28"/>
        </w:rPr>
      </w:pPr>
      <w:r>
        <w:rPr>
          <w:rFonts w:hint="eastAsia" w:ascii="宋体" w:hAnsi="宋体" w:cs="宋体"/>
          <w:sz w:val="28"/>
          <w:szCs w:val="28"/>
          <w:lang w:bidi="zh-CN"/>
        </w:rPr>
        <w:t>2、中标（成交）供应商为残疾人福利单位的，此声明函将随中标（成交）结果同时公告，接受社会监督。供应商按照本办法规定提供声明函内容不实的，属于提供虚假材料谋取中标、成交，依照《中华人民共和国政府采购法》等国家有关规定追究相应责任。</w:t>
      </w:r>
    </w:p>
    <w:p w14:paraId="582311CC">
      <w:pPr>
        <w:spacing w:line="588" w:lineRule="exact"/>
        <w:ind w:firstLine="584"/>
        <w:rPr>
          <w:rFonts w:hint="eastAsia" w:ascii="宋体" w:hAnsi="宋体" w:cs="宋体"/>
          <w:spacing w:val="6"/>
          <w:sz w:val="28"/>
          <w:szCs w:val="28"/>
        </w:rPr>
      </w:pPr>
    </w:p>
    <w:p w14:paraId="391694F7">
      <w:pPr>
        <w:tabs>
          <w:tab w:val="left" w:pos="4860"/>
        </w:tabs>
        <w:spacing w:line="588" w:lineRule="exact"/>
        <w:ind w:right="1560" w:firstLine="584"/>
        <w:jc w:val="center"/>
        <w:rPr>
          <w:rFonts w:hint="eastAsia" w:ascii="宋体" w:hAnsi="宋体" w:cs="宋体"/>
          <w:sz w:val="28"/>
          <w:szCs w:val="28"/>
        </w:rPr>
      </w:pPr>
      <w:r>
        <w:rPr>
          <w:rFonts w:hint="eastAsia" w:ascii="宋体" w:hAnsi="宋体" w:cs="宋体"/>
          <w:spacing w:val="6"/>
          <w:sz w:val="28"/>
          <w:szCs w:val="28"/>
        </w:rPr>
        <w:t xml:space="preserve">             </w:t>
      </w:r>
      <w:r>
        <w:rPr>
          <w:rFonts w:hint="eastAsia" w:ascii="宋体" w:hAnsi="宋体" w:cs="宋体"/>
          <w:sz w:val="28"/>
          <w:szCs w:val="28"/>
        </w:rPr>
        <w:t xml:space="preserve">          供应商全称（盖章）：</w:t>
      </w:r>
    </w:p>
    <w:p w14:paraId="65A5E1AF">
      <w:pPr>
        <w:tabs>
          <w:tab w:val="left" w:pos="4860"/>
        </w:tabs>
        <w:spacing w:line="588" w:lineRule="exact"/>
        <w:ind w:right="1560" w:firstLine="560"/>
        <w:jc w:val="center"/>
        <w:rPr>
          <w:rFonts w:hint="eastAsia" w:ascii="宋体" w:hAnsi="宋体" w:cs="宋体"/>
          <w:sz w:val="28"/>
          <w:szCs w:val="28"/>
        </w:rPr>
      </w:pPr>
      <w:r>
        <w:rPr>
          <w:rFonts w:hint="eastAsia" w:ascii="宋体" w:hAnsi="宋体" w:cs="宋体"/>
          <w:sz w:val="28"/>
          <w:szCs w:val="28"/>
        </w:rPr>
        <w:t xml:space="preserve">              日  期：</w:t>
      </w:r>
    </w:p>
    <w:p w14:paraId="23383DEC">
      <w:pPr>
        <w:ind w:firstLine="420"/>
        <w:rPr>
          <w:rFonts w:hint="eastAsia" w:ascii="宋体" w:hAnsi="宋体" w:cs="宋体"/>
          <w:sz w:val="28"/>
          <w:szCs w:val="28"/>
        </w:rPr>
      </w:pPr>
    </w:p>
    <w:p w14:paraId="19A43534">
      <w:pPr>
        <w:spacing w:line="300" w:lineRule="auto"/>
        <w:outlineLvl w:val="0"/>
        <w:rPr>
          <w:rFonts w:hint="eastAsia" w:ascii="宋体" w:hAnsi="宋体" w:cs="宋体"/>
          <w:sz w:val="28"/>
          <w:szCs w:val="28"/>
        </w:rPr>
      </w:pPr>
    </w:p>
    <w:p w14:paraId="6D94FD43">
      <w:pPr>
        <w:pStyle w:val="205"/>
        <w:rPr>
          <w:rFonts w:hint="eastAsia" w:ascii="宋体" w:hAnsi="宋体" w:cs="宋体"/>
        </w:rPr>
      </w:pPr>
    </w:p>
    <w:p w14:paraId="6357F41D">
      <w:pPr>
        <w:spacing w:line="300" w:lineRule="auto"/>
        <w:outlineLvl w:val="0"/>
        <w:rPr>
          <w:rFonts w:hint="eastAsia" w:ascii="宋体" w:hAnsi="宋体" w:cs="宋体"/>
          <w:sz w:val="32"/>
          <w:szCs w:val="32"/>
        </w:rPr>
      </w:pPr>
    </w:p>
    <w:p w14:paraId="2CC36BB3">
      <w:pPr>
        <w:spacing w:line="300" w:lineRule="auto"/>
        <w:outlineLvl w:val="0"/>
        <w:rPr>
          <w:rFonts w:hint="eastAsia" w:ascii="宋体" w:hAnsi="宋体" w:eastAsia="宋体" w:cs="宋体"/>
          <w:sz w:val="32"/>
          <w:szCs w:val="32"/>
          <w:lang w:eastAsia="zh-CN"/>
        </w:rPr>
      </w:pPr>
      <w:r>
        <w:rPr>
          <w:rFonts w:hint="eastAsia" w:ascii="宋体" w:hAnsi="宋体" w:cs="宋体"/>
          <w:sz w:val="32"/>
          <w:szCs w:val="32"/>
        </w:rPr>
        <w:t>附件</w:t>
      </w:r>
      <w:r>
        <w:rPr>
          <w:rFonts w:hint="eastAsia" w:ascii="宋体" w:hAnsi="宋体" w:cs="宋体"/>
          <w:sz w:val="32"/>
          <w:szCs w:val="32"/>
          <w:lang w:val="en-US" w:eastAsia="zh-CN"/>
        </w:rPr>
        <w:t>9</w:t>
      </w:r>
    </w:p>
    <w:p w14:paraId="220C689B">
      <w:pPr>
        <w:spacing w:line="420" w:lineRule="exact"/>
        <w:jc w:val="center"/>
        <w:outlineLvl w:val="3"/>
        <w:rPr>
          <w:rFonts w:hint="eastAsia" w:ascii="宋体" w:hAnsi="宋体" w:cs="宋体"/>
          <w:b/>
          <w:bCs/>
          <w:sz w:val="32"/>
          <w:szCs w:val="32"/>
        </w:rPr>
      </w:pPr>
      <w:r>
        <w:rPr>
          <w:rFonts w:hint="eastAsia" w:ascii="宋体" w:hAnsi="宋体" w:cs="宋体"/>
          <w:b/>
          <w:bCs/>
          <w:sz w:val="32"/>
          <w:szCs w:val="32"/>
        </w:rPr>
        <w:t>监狱和戒毒企业证明材料</w:t>
      </w:r>
    </w:p>
    <w:p w14:paraId="3FA0BADC">
      <w:pPr>
        <w:spacing w:line="420" w:lineRule="exact"/>
        <w:ind w:firstLine="496"/>
        <w:rPr>
          <w:rFonts w:hint="eastAsia" w:ascii="宋体" w:hAnsi="宋体" w:cs="宋体"/>
          <w:sz w:val="28"/>
          <w:szCs w:val="28"/>
        </w:rPr>
      </w:pPr>
    </w:p>
    <w:p w14:paraId="158C533B">
      <w:pPr>
        <w:spacing w:line="420" w:lineRule="exact"/>
        <w:ind w:firstLine="498"/>
        <w:rPr>
          <w:rFonts w:hint="eastAsia" w:ascii="宋体" w:hAnsi="宋体" w:cs="宋体"/>
          <w:b/>
          <w:sz w:val="28"/>
          <w:szCs w:val="28"/>
        </w:rPr>
      </w:pPr>
      <w:r>
        <w:rPr>
          <w:rFonts w:hint="eastAsia" w:ascii="宋体" w:hAnsi="宋体" w:cs="宋体"/>
          <w:b/>
          <w:sz w:val="28"/>
          <w:szCs w:val="28"/>
        </w:rPr>
        <w:t>（格式自拟）</w:t>
      </w:r>
    </w:p>
    <w:p w14:paraId="5F781889">
      <w:pPr>
        <w:spacing w:line="420" w:lineRule="exact"/>
        <w:ind w:firstLine="496"/>
        <w:rPr>
          <w:rFonts w:hint="eastAsia" w:ascii="宋体" w:hAnsi="宋体" w:cs="宋体"/>
          <w:sz w:val="28"/>
          <w:szCs w:val="28"/>
        </w:rPr>
      </w:pPr>
    </w:p>
    <w:p w14:paraId="61C3F784">
      <w:pPr>
        <w:spacing w:line="420" w:lineRule="exact"/>
        <w:ind w:firstLine="661"/>
        <w:rPr>
          <w:rFonts w:hint="eastAsia" w:ascii="宋体" w:hAnsi="宋体" w:cs="宋体"/>
          <w:sz w:val="28"/>
          <w:szCs w:val="28"/>
        </w:rPr>
      </w:pPr>
      <w:r>
        <w:rPr>
          <w:rFonts w:hint="eastAsia" w:ascii="宋体" w:hAnsi="宋体" w:cs="宋体"/>
          <w:sz w:val="28"/>
          <w:szCs w:val="28"/>
        </w:rPr>
        <w:t>根据《财政部司法部关于政府采购支持监狱企业发展有关问题的通知》（财库〔2014〕68号），监狱企业参加政府采购活动时，应当提供由省级以上监狱管理局、戒毒管理局（含新疆生产建设兵团）出具的，供应商属于监狱企业的证明文件。</w:t>
      </w:r>
    </w:p>
    <w:p w14:paraId="037BE4E4">
      <w:pPr>
        <w:spacing w:line="300" w:lineRule="auto"/>
        <w:outlineLvl w:val="0"/>
        <w:rPr>
          <w:rFonts w:hint="eastAsia" w:ascii="宋体" w:hAnsi="宋体" w:cs="宋体"/>
          <w:sz w:val="28"/>
          <w:szCs w:val="28"/>
        </w:rPr>
      </w:pPr>
    </w:p>
    <w:p w14:paraId="3D655E11">
      <w:pPr>
        <w:spacing w:line="300" w:lineRule="auto"/>
        <w:outlineLvl w:val="0"/>
        <w:rPr>
          <w:rFonts w:hint="eastAsia" w:ascii="宋体" w:hAnsi="宋体" w:cs="宋体"/>
          <w:sz w:val="28"/>
          <w:szCs w:val="28"/>
        </w:rPr>
      </w:pPr>
    </w:p>
    <w:p w14:paraId="4B30BD28">
      <w:pPr>
        <w:spacing w:line="300" w:lineRule="auto"/>
        <w:outlineLvl w:val="0"/>
        <w:rPr>
          <w:rFonts w:hint="eastAsia" w:ascii="宋体" w:hAnsi="宋体" w:cs="宋体"/>
          <w:sz w:val="28"/>
          <w:szCs w:val="28"/>
        </w:rPr>
      </w:pPr>
    </w:p>
    <w:p w14:paraId="446D7DCB">
      <w:pPr>
        <w:spacing w:line="300" w:lineRule="auto"/>
        <w:outlineLvl w:val="0"/>
        <w:rPr>
          <w:rFonts w:hint="eastAsia" w:ascii="宋体" w:hAnsi="宋体" w:cs="宋体"/>
          <w:sz w:val="28"/>
          <w:szCs w:val="28"/>
          <w:lang w:bidi="zh-CN"/>
        </w:rPr>
      </w:pPr>
      <w:r>
        <w:rPr>
          <w:rFonts w:hint="eastAsia" w:ascii="宋体" w:hAnsi="宋体" w:cs="宋体"/>
          <w:sz w:val="28"/>
          <w:szCs w:val="28"/>
          <w:lang w:bidi="zh-CN"/>
        </w:rPr>
        <w:t>注：1、供应商如不提供此声明函，价格将不做相应扣除。</w:t>
      </w:r>
    </w:p>
    <w:p w14:paraId="01CB3989">
      <w:pPr>
        <w:spacing w:line="300" w:lineRule="auto"/>
        <w:ind w:firstLine="560"/>
        <w:outlineLvl w:val="0"/>
        <w:rPr>
          <w:rFonts w:hint="eastAsia" w:ascii="宋体" w:hAnsi="宋体" w:cs="宋体"/>
          <w:sz w:val="28"/>
          <w:szCs w:val="28"/>
        </w:rPr>
      </w:pPr>
      <w:r>
        <w:rPr>
          <w:rFonts w:hint="eastAsia" w:ascii="宋体" w:hAnsi="宋体" w:cs="宋体"/>
          <w:sz w:val="28"/>
          <w:szCs w:val="28"/>
          <w:lang w:bidi="zh-CN"/>
        </w:rPr>
        <w:t>2、中标（成交）供应商为监狱企业的，此声明函将随中标（成交）结果同时公告，接受社会监督。供应商按照本办法规定提供声明函内容不实的，属于提供虚假材料谋取中标、成交，依照《中华人民共和国政府采购法》等国家有关规定追究相应责任。</w:t>
      </w:r>
    </w:p>
    <w:p w14:paraId="5247371B">
      <w:pPr>
        <w:spacing w:line="300" w:lineRule="auto"/>
        <w:outlineLvl w:val="0"/>
        <w:rPr>
          <w:rFonts w:hint="eastAsia" w:ascii="宋体" w:hAnsi="宋体" w:cs="宋体"/>
          <w:sz w:val="28"/>
          <w:szCs w:val="28"/>
        </w:rPr>
      </w:pPr>
    </w:p>
    <w:p w14:paraId="443C7D1C">
      <w:pPr>
        <w:spacing w:line="300" w:lineRule="auto"/>
        <w:outlineLvl w:val="0"/>
        <w:rPr>
          <w:rFonts w:hint="eastAsia" w:ascii="宋体" w:hAnsi="宋体" w:cs="宋体"/>
          <w:sz w:val="28"/>
          <w:szCs w:val="28"/>
        </w:rPr>
      </w:pPr>
    </w:p>
    <w:p w14:paraId="2712E1F8">
      <w:pPr>
        <w:spacing w:line="300" w:lineRule="auto"/>
        <w:outlineLvl w:val="0"/>
        <w:rPr>
          <w:rFonts w:hint="eastAsia" w:ascii="宋体" w:hAnsi="宋体" w:cs="宋体"/>
          <w:sz w:val="28"/>
          <w:szCs w:val="28"/>
        </w:rPr>
      </w:pPr>
    </w:p>
    <w:p w14:paraId="07224EB6">
      <w:pPr>
        <w:spacing w:line="300" w:lineRule="auto"/>
        <w:outlineLvl w:val="0"/>
        <w:rPr>
          <w:rFonts w:hint="eastAsia" w:ascii="宋体" w:hAnsi="宋体" w:cs="宋体"/>
          <w:sz w:val="28"/>
          <w:szCs w:val="28"/>
        </w:rPr>
      </w:pPr>
    </w:p>
    <w:p w14:paraId="5928EA58">
      <w:pPr>
        <w:spacing w:line="300" w:lineRule="auto"/>
        <w:outlineLvl w:val="0"/>
        <w:rPr>
          <w:rFonts w:hint="eastAsia" w:ascii="宋体" w:hAnsi="宋体" w:cs="宋体"/>
          <w:sz w:val="28"/>
          <w:szCs w:val="28"/>
        </w:rPr>
      </w:pPr>
    </w:p>
    <w:p w14:paraId="3ED59211">
      <w:pPr>
        <w:spacing w:line="300" w:lineRule="auto"/>
        <w:outlineLvl w:val="0"/>
        <w:rPr>
          <w:rFonts w:hint="eastAsia" w:ascii="宋体" w:hAnsi="宋体" w:cs="宋体"/>
          <w:sz w:val="28"/>
          <w:szCs w:val="28"/>
        </w:rPr>
      </w:pPr>
    </w:p>
    <w:p w14:paraId="28AC4CDA">
      <w:pPr>
        <w:spacing w:line="300" w:lineRule="auto"/>
        <w:outlineLvl w:val="0"/>
        <w:rPr>
          <w:rFonts w:hint="eastAsia" w:ascii="宋体" w:hAnsi="宋体" w:cs="宋体"/>
          <w:sz w:val="28"/>
          <w:szCs w:val="28"/>
        </w:rPr>
      </w:pPr>
    </w:p>
    <w:p w14:paraId="25562C9F">
      <w:pPr>
        <w:spacing w:line="300" w:lineRule="auto"/>
        <w:outlineLvl w:val="0"/>
        <w:rPr>
          <w:rFonts w:hint="eastAsia" w:ascii="宋体" w:hAnsi="宋体" w:cs="宋体"/>
          <w:sz w:val="28"/>
          <w:szCs w:val="28"/>
        </w:rPr>
      </w:pPr>
    </w:p>
    <w:p w14:paraId="283FDEDA">
      <w:pPr>
        <w:pStyle w:val="205"/>
        <w:rPr>
          <w:rFonts w:hint="eastAsia" w:ascii="宋体" w:hAnsi="宋体" w:cs="宋体"/>
        </w:rPr>
      </w:pPr>
    </w:p>
    <w:p w14:paraId="4E484DF4">
      <w:pPr>
        <w:rPr>
          <w:rFonts w:hint="eastAsia" w:ascii="宋体" w:hAnsi="宋体" w:cs="宋体"/>
        </w:rPr>
      </w:pPr>
    </w:p>
    <w:p w14:paraId="07FC2071">
      <w:pPr>
        <w:pStyle w:val="205"/>
        <w:rPr>
          <w:rFonts w:hint="eastAsia" w:ascii="宋体" w:hAnsi="宋体" w:cs="宋体"/>
        </w:rPr>
      </w:pPr>
    </w:p>
    <w:p w14:paraId="12BF0AC6">
      <w:pPr>
        <w:rPr>
          <w:rFonts w:hint="eastAsia" w:ascii="宋体" w:hAnsi="宋体" w:cs="宋体"/>
        </w:rPr>
      </w:pPr>
    </w:p>
    <w:p w14:paraId="0F6E5235">
      <w:pPr>
        <w:pStyle w:val="205"/>
        <w:rPr>
          <w:rFonts w:hint="eastAsia" w:ascii="宋体" w:hAnsi="宋体" w:cs="宋体"/>
        </w:rPr>
      </w:pPr>
    </w:p>
    <w:p w14:paraId="4E75873B">
      <w:pPr>
        <w:spacing w:line="300" w:lineRule="auto"/>
        <w:outlineLvl w:val="0"/>
        <w:rPr>
          <w:rFonts w:hint="eastAsia" w:ascii="宋体" w:hAnsi="宋体" w:cs="宋体"/>
          <w:sz w:val="28"/>
          <w:szCs w:val="28"/>
        </w:rPr>
      </w:pPr>
    </w:p>
    <w:p w14:paraId="1DCA3BA6">
      <w:pPr>
        <w:spacing w:line="300" w:lineRule="auto"/>
        <w:outlineLvl w:val="0"/>
        <w:rPr>
          <w:rFonts w:hint="eastAsia" w:ascii="宋体" w:hAnsi="宋体" w:cs="宋体"/>
          <w:sz w:val="28"/>
          <w:szCs w:val="28"/>
        </w:rPr>
      </w:pPr>
    </w:p>
    <w:p w14:paraId="43EE48B4">
      <w:pPr>
        <w:rPr>
          <w:rFonts w:hint="default" w:ascii="宋体" w:hAnsi="宋体" w:eastAsia="宋体" w:cs="宋体"/>
          <w:sz w:val="32"/>
          <w:szCs w:val="32"/>
          <w:lang w:val="en-US" w:eastAsia="zh-CN"/>
        </w:rPr>
      </w:pPr>
      <w:r>
        <w:rPr>
          <w:rFonts w:hint="eastAsia" w:ascii="宋体" w:hAnsi="宋体" w:cs="宋体"/>
          <w:sz w:val="32"/>
          <w:szCs w:val="32"/>
        </w:rPr>
        <w:t>附件</w:t>
      </w:r>
      <w:r>
        <w:rPr>
          <w:rFonts w:hint="eastAsia" w:ascii="宋体" w:hAnsi="宋体" w:cs="宋体"/>
          <w:sz w:val="32"/>
          <w:szCs w:val="32"/>
          <w:lang w:val="en-US" w:eastAsia="zh-CN"/>
        </w:rPr>
        <w:t>10</w:t>
      </w:r>
    </w:p>
    <w:p w14:paraId="525BAAB7">
      <w:pPr>
        <w:jc w:val="center"/>
        <w:rPr>
          <w:rFonts w:hint="eastAsia" w:ascii="宋体" w:hAnsi="宋体" w:cs="宋体"/>
          <w:bCs/>
          <w:sz w:val="44"/>
          <w:szCs w:val="44"/>
        </w:rPr>
      </w:pPr>
      <w:r>
        <w:rPr>
          <w:rFonts w:hint="eastAsia" w:ascii="宋体" w:hAnsi="宋体" w:cs="宋体"/>
          <w:bCs/>
          <w:sz w:val="44"/>
          <w:szCs w:val="44"/>
        </w:rPr>
        <w:t>质疑函范本</w:t>
      </w:r>
    </w:p>
    <w:p w14:paraId="2278C893">
      <w:pPr>
        <w:spacing w:before="240" w:line="360" w:lineRule="auto"/>
        <w:rPr>
          <w:rFonts w:hint="eastAsia" w:ascii="宋体" w:hAnsi="宋体" w:cs="宋体"/>
          <w:bCs/>
          <w:sz w:val="32"/>
          <w:szCs w:val="32"/>
        </w:rPr>
      </w:pPr>
      <w:r>
        <w:rPr>
          <w:rFonts w:hint="eastAsia" w:ascii="宋体" w:hAnsi="宋体" w:cs="宋体"/>
          <w:bCs/>
          <w:sz w:val="32"/>
          <w:szCs w:val="32"/>
        </w:rPr>
        <w:t>一、质疑供应商基本信息</w:t>
      </w:r>
    </w:p>
    <w:p w14:paraId="061ED129">
      <w:pPr>
        <w:spacing w:line="360" w:lineRule="auto"/>
        <w:rPr>
          <w:rFonts w:hint="eastAsia" w:ascii="宋体" w:hAnsi="宋体" w:cs="宋体"/>
          <w:sz w:val="32"/>
          <w:szCs w:val="32"/>
          <w:u w:val="single"/>
        </w:rPr>
      </w:pPr>
      <w:r>
        <w:rPr>
          <w:rFonts w:hint="eastAsia" w:ascii="宋体" w:hAnsi="宋体" w:cs="宋体"/>
          <w:sz w:val="32"/>
          <w:szCs w:val="32"/>
        </w:rPr>
        <w:t>质疑供应商：</w:t>
      </w:r>
    </w:p>
    <w:p w14:paraId="37AEC669">
      <w:pPr>
        <w:spacing w:line="360" w:lineRule="auto"/>
        <w:rPr>
          <w:rFonts w:hint="eastAsia" w:ascii="宋体" w:hAnsi="宋体" w:cs="宋体"/>
          <w:sz w:val="32"/>
          <w:szCs w:val="32"/>
        </w:rPr>
      </w:pPr>
      <w:r>
        <w:rPr>
          <w:rFonts w:hint="eastAsia" w:ascii="宋体" w:hAnsi="宋体" w:cs="宋体"/>
          <w:sz w:val="32"/>
          <w:szCs w:val="32"/>
        </w:rPr>
        <w:t>地址：邮编：</w:t>
      </w:r>
    </w:p>
    <w:p w14:paraId="56C7EFA2">
      <w:pPr>
        <w:spacing w:line="360" w:lineRule="auto"/>
        <w:rPr>
          <w:rFonts w:hint="eastAsia" w:ascii="宋体" w:hAnsi="宋体" w:cs="宋体"/>
          <w:sz w:val="32"/>
          <w:szCs w:val="32"/>
        </w:rPr>
      </w:pPr>
      <w:r>
        <w:rPr>
          <w:rFonts w:hint="eastAsia" w:ascii="宋体" w:hAnsi="宋体" w:cs="宋体"/>
          <w:sz w:val="32"/>
          <w:szCs w:val="32"/>
        </w:rPr>
        <w:t>联系人：联系电话：</w:t>
      </w:r>
    </w:p>
    <w:p w14:paraId="033F275C">
      <w:pPr>
        <w:spacing w:line="360" w:lineRule="auto"/>
        <w:rPr>
          <w:rFonts w:hint="eastAsia" w:ascii="宋体" w:hAnsi="宋体" w:cs="宋体"/>
          <w:sz w:val="32"/>
          <w:szCs w:val="32"/>
          <w:u w:val="single"/>
        </w:rPr>
      </w:pPr>
      <w:r>
        <w:rPr>
          <w:rFonts w:hint="eastAsia" w:ascii="宋体" w:hAnsi="宋体" w:cs="宋体"/>
          <w:sz w:val="32"/>
          <w:szCs w:val="32"/>
        </w:rPr>
        <w:t>授权代表：</w:t>
      </w:r>
    </w:p>
    <w:p w14:paraId="2D1FB9CA">
      <w:pPr>
        <w:spacing w:line="360" w:lineRule="auto"/>
        <w:rPr>
          <w:rFonts w:hint="eastAsia" w:ascii="宋体" w:hAnsi="宋体" w:cs="宋体"/>
          <w:sz w:val="32"/>
          <w:szCs w:val="32"/>
        </w:rPr>
      </w:pPr>
      <w:r>
        <w:rPr>
          <w:rFonts w:hint="eastAsia" w:ascii="宋体" w:hAnsi="宋体" w:cs="宋体"/>
          <w:sz w:val="32"/>
          <w:szCs w:val="32"/>
        </w:rPr>
        <w:t>联系电话：</w:t>
      </w:r>
    </w:p>
    <w:p w14:paraId="2862B5EA">
      <w:pPr>
        <w:spacing w:line="360" w:lineRule="auto"/>
        <w:rPr>
          <w:rFonts w:hint="eastAsia" w:ascii="宋体" w:hAnsi="宋体" w:cs="宋体"/>
          <w:sz w:val="32"/>
          <w:szCs w:val="32"/>
        </w:rPr>
      </w:pPr>
      <w:r>
        <w:rPr>
          <w:rFonts w:hint="eastAsia" w:ascii="宋体" w:hAnsi="宋体" w:cs="宋体"/>
          <w:sz w:val="32"/>
          <w:szCs w:val="32"/>
        </w:rPr>
        <w:t>地址：邮编：</w:t>
      </w:r>
    </w:p>
    <w:p w14:paraId="21B00FF6">
      <w:pPr>
        <w:spacing w:line="360" w:lineRule="auto"/>
        <w:rPr>
          <w:rFonts w:hint="eastAsia" w:ascii="宋体" w:hAnsi="宋体" w:cs="宋体"/>
          <w:bCs/>
          <w:sz w:val="32"/>
          <w:szCs w:val="32"/>
        </w:rPr>
      </w:pPr>
      <w:r>
        <w:rPr>
          <w:rFonts w:hint="eastAsia" w:ascii="宋体" w:hAnsi="宋体" w:cs="宋体"/>
          <w:bCs/>
          <w:sz w:val="32"/>
          <w:szCs w:val="32"/>
        </w:rPr>
        <w:t>二、质疑项目基本情况</w:t>
      </w:r>
    </w:p>
    <w:p w14:paraId="2E51E010">
      <w:pPr>
        <w:spacing w:line="360" w:lineRule="auto"/>
        <w:rPr>
          <w:rFonts w:hint="eastAsia" w:ascii="宋体" w:hAnsi="宋体" w:cs="宋体"/>
          <w:sz w:val="32"/>
          <w:szCs w:val="32"/>
        </w:rPr>
      </w:pPr>
      <w:r>
        <w:rPr>
          <w:rFonts w:hint="eastAsia" w:ascii="宋体" w:hAnsi="宋体" w:cs="宋体"/>
          <w:sz w:val="32"/>
          <w:szCs w:val="32"/>
        </w:rPr>
        <w:t>质疑项目的名称：</w:t>
      </w:r>
    </w:p>
    <w:p w14:paraId="7B635BFE">
      <w:pPr>
        <w:spacing w:line="360" w:lineRule="auto"/>
        <w:rPr>
          <w:rFonts w:hint="eastAsia" w:ascii="宋体" w:hAnsi="宋体" w:cs="宋体"/>
          <w:sz w:val="32"/>
          <w:szCs w:val="32"/>
        </w:rPr>
      </w:pPr>
      <w:r>
        <w:rPr>
          <w:rFonts w:hint="eastAsia" w:ascii="宋体" w:hAnsi="宋体" w:cs="宋体"/>
          <w:sz w:val="32"/>
          <w:szCs w:val="32"/>
        </w:rPr>
        <w:t>质疑项目的编号：包号：</w:t>
      </w:r>
    </w:p>
    <w:p w14:paraId="198A2BD5">
      <w:pPr>
        <w:spacing w:line="360" w:lineRule="auto"/>
        <w:rPr>
          <w:rFonts w:hint="eastAsia" w:ascii="宋体" w:hAnsi="宋体" w:cs="宋体"/>
          <w:sz w:val="32"/>
          <w:szCs w:val="32"/>
          <w:u w:val="single"/>
        </w:rPr>
      </w:pPr>
      <w:r>
        <w:rPr>
          <w:rFonts w:hint="eastAsia" w:ascii="宋体" w:hAnsi="宋体" w:cs="宋体"/>
          <w:sz w:val="32"/>
          <w:szCs w:val="32"/>
        </w:rPr>
        <w:t>采购人名称：</w:t>
      </w:r>
    </w:p>
    <w:p w14:paraId="75930B62">
      <w:pPr>
        <w:spacing w:line="360" w:lineRule="auto"/>
        <w:rPr>
          <w:rFonts w:hint="eastAsia" w:ascii="宋体" w:hAnsi="宋体" w:cs="宋体"/>
          <w:sz w:val="32"/>
          <w:szCs w:val="32"/>
        </w:rPr>
      </w:pPr>
      <w:r>
        <w:rPr>
          <w:rFonts w:hint="eastAsia" w:ascii="宋体" w:hAnsi="宋体" w:cs="宋体"/>
          <w:sz w:val="32"/>
          <w:szCs w:val="32"/>
        </w:rPr>
        <w:t>采购文件获取日期：</w:t>
      </w:r>
    </w:p>
    <w:p w14:paraId="06C91D8A">
      <w:pPr>
        <w:spacing w:line="360" w:lineRule="auto"/>
        <w:rPr>
          <w:rFonts w:hint="eastAsia" w:ascii="宋体" w:hAnsi="宋体" w:cs="宋体"/>
          <w:bCs/>
          <w:sz w:val="32"/>
          <w:szCs w:val="32"/>
        </w:rPr>
      </w:pPr>
      <w:r>
        <w:rPr>
          <w:rFonts w:hint="eastAsia" w:ascii="宋体" w:hAnsi="宋体" w:cs="宋体"/>
          <w:bCs/>
          <w:sz w:val="32"/>
          <w:szCs w:val="32"/>
        </w:rPr>
        <w:t>三、质疑事项具体内容</w:t>
      </w:r>
    </w:p>
    <w:p w14:paraId="3D8A531A">
      <w:pPr>
        <w:spacing w:line="360" w:lineRule="auto"/>
        <w:rPr>
          <w:rFonts w:hint="eastAsia" w:ascii="宋体" w:hAnsi="宋体" w:cs="宋体"/>
          <w:sz w:val="32"/>
          <w:szCs w:val="32"/>
          <w:u w:val="single"/>
        </w:rPr>
      </w:pPr>
      <w:r>
        <w:rPr>
          <w:rFonts w:hint="eastAsia" w:ascii="宋体" w:hAnsi="宋体" w:cs="宋体"/>
          <w:sz w:val="32"/>
          <w:szCs w:val="32"/>
        </w:rPr>
        <w:t>质疑事项1：</w:t>
      </w:r>
    </w:p>
    <w:p w14:paraId="622AA496">
      <w:pPr>
        <w:spacing w:line="360" w:lineRule="auto"/>
        <w:rPr>
          <w:rFonts w:hint="eastAsia" w:ascii="宋体" w:hAnsi="宋体" w:cs="宋体"/>
          <w:sz w:val="32"/>
          <w:szCs w:val="32"/>
          <w:u w:val="single"/>
        </w:rPr>
      </w:pPr>
      <w:r>
        <w:rPr>
          <w:rFonts w:hint="eastAsia" w:ascii="宋体" w:hAnsi="宋体" w:cs="宋体"/>
          <w:sz w:val="32"/>
          <w:szCs w:val="32"/>
        </w:rPr>
        <w:t>事实依据：</w:t>
      </w:r>
    </w:p>
    <w:p w14:paraId="64BB94D3">
      <w:pPr>
        <w:spacing w:line="360" w:lineRule="auto"/>
        <w:rPr>
          <w:rFonts w:hint="eastAsia" w:ascii="宋体" w:hAnsi="宋体" w:cs="宋体"/>
          <w:sz w:val="32"/>
          <w:szCs w:val="32"/>
        </w:rPr>
      </w:pPr>
    </w:p>
    <w:p w14:paraId="4304739D">
      <w:pPr>
        <w:spacing w:line="360" w:lineRule="auto"/>
        <w:rPr>
          <w:rFonts w:hint="eastAsia" w:ascii="宋体" w:hAnsi="宋体" w:cs="宋体"/>
          <w:sz w:val="32"/>
          <w:szCs w:val="32"/>
          <w:u w:val="single"/>
        </w:rPr>
      </w:pPr>
      <w:r>
        <w:rPr>
          <w:rFonts w:hint="eastAsia" w:ascii="宋体" w:hAnsi="宋体" w:cs="宋体"/>
          <w:sz w:val="32"/>
          <w:szCs w:val="32"/>
        </w:rPr>
        <w:t>法律依据：</w:t>
      </w:r>
    </w:p>
    <w:p w14:paraId="28864633">
      <w:pPr>
        <w:spacing w:line="360" w:lineRule="auto"/>
        <w:rPr>
          <w:rFonts w:hint="eastAsia" w:ascii="宋体" w:hAnsi="宋体" w:cs="宋体"/>
          <w:sz w:val="32"/>
          <w:szCs w:val="32"/>
          <w:u w:val="single"/>
        </w:rPr>
      </w:pPr>
    </w:p>
    <w:p w14:paraId="13F9C43F">
      <w:pPr>
        <w:spacing w:line="360" w:lineRule="auto"/>
        <w:rPr>
          <w:rFonts w:hint="eastAsia" w:ascii="宋体" w:hAnsi="宋体" w:cs="宋体"/>
          <w:sz w:val="32"/>
          <w:szCs w:val="32"/>
          <w:u w:val="single"/>
        </w:rPr>
      </w:pPr>
      <w:r>
        <w:rPr>
          <w:rFonts w:hint="eastAsia" w:ascii="宋体" w:hAnsi="宋体" w:cs="宋体"/>
          <w:sz w:val="32"/>
          <w:szCs w:val="32"/>
        </w:rPr>
        <w:t>质疑事项2</w:t>
      </w:r>
    </w:p>
    <w:p w14:paraId="6D09B4A4">
      <w:pPr>
        <w:spacing w:line="360" w:lineRule="auto"/>
        <w:rPr>
          <w:rFonts w:hint="eastAsia" w:ascii="宋体" w:hAnsi="宋体" w:cs="宋体"/>
          <w:sz w:val="32"/>
          <w:szCs w:val="32"/>
        </w:rPr>
      </w:pPr>
      <w:r>
        <w:rPr>
          <w:rFonts w:hint="eastAsia" w:ascii="宋体" w:hAnsi="宋体" w:cs="宋体"/>
          <w:sz w:val="32"/>
          <w:szCs w:val="32"/>
        </w:rPr>
        <w:t>……</w:t>
      </w:r>
    </w:p>
    <w:p w14:paraId="1C379E81">
      <w:pPr>
        <w:spacing w:line="360" w:lineRule="auto"/>
        <w:rPr>
          <w:rFonts w:hint="eastAsia" w:ascii="宋体" w:hAnsi="宋体" w:cs="宋体"/>
          <w:bCs/>
          <w:sz w:val="32"/>
          <w:szCs w:val="32"/>
        </w:rPr>
      </w:pPr>
      <w:r>
        <w:rPr>
          <w:rFonts w:hint="eastAsia" w:ascii="宋体" w:hAnsi="宋体" w:cs="宋体"/>
          <w:bCs/>
          <w:sz w:val="32"/>
          <w:szCs w:val="32"/>
        </w:rPr>
        <w:t>四、与质疑事项相关的质疑请求</w:t>
      </w:r>
    </w:p>
    <w:p w14:paraId="35A92A1F">
      <w:pPr>
        <w:spacing w:line="360" w:lineRule="auto"/>
        <w:rPr>
          <w:rFonts w:hint="eastAsia" w:ascii="宋体" w:hAnsi="宋体" w:cs="宋体"/>
          <w:sz w:val="32"/>
          <w:szCs w:val="32"/>
          <w:u w:val="single"/>
        </w:rPr>
      </w:pPr>
      <w:r>
        <w:rPr>
          <w:rFonts w:hint="eastAsia" w:ascii="宋体" w:hAnsi="宋体" w:cs="宋体"/>
          <w:sz w:val="32"/>
          <w:szCs w:val="32"/>
        </w:rPr>
        <w:t>请求：</w:t>
      </w:r>
    </w:p>
    <w:p w14:paraId="4985449D">
      <w:pPr>
        <w:rPr>
          <w:rFonts w:hint="eastAsia" w:ascii="宋体" w:hAnsi="宋体" w:cs="宋体"/>
          <w:sz w:val="30"/>
          <w:szCs w:val="30"/>
        </w:rPr>
      </w:pPr>
      <w:r>
        <w:rPr>
          <w:rFonts w:hint="eastAsia" w:ascii="宋体" w:hAnsi="宋体" w:cs="宋体"/>
          <w:sz w:val="30"/>
          <w:szCs w:val="30"/>
        </w:rPr>
        <w:t xml:space="preserve">签字(签章)：                   公章：                      </w:t>
      </w:r>
    </w:p>
    <w:p w14:paraId="453F182E">
      <w:pPr>
        <w:rPr>
          <w:rFonts w:hint="eastAsia" w:ascii="宋体" w:hAnsi="宋体" w:cs="宋体"/>
          <w:sz w:val="30"/>
          <w:szCs w:val="30"/>
        </w:rPr>
      </w:pPr>
      <w:r>
        <w:rPr>
          <w:rFonts w:hint="eastAsia" w:ascii="宋体" w:hAnsi="宋体" w:cs="宋体"/>
          <w:sz w:val="30"/>
          <w:szCs w:val="30"/>
        </w:rPr>
        <w:t xml:space="preserve">日期：    </w:t>
      </w:r>
    </w:p>
    <w:p w14:paraId="16677E09">
      <w:pPr>
        <w:spacing w:line="360" w:lineRule="auto"/>
        <w:rPr>
          <w:rFonts w:hint="eastAsia" w:ascii="宋体" w:hAnsi="宋体" w:cs="宋体"/>
          <w:sz w:val="32"/>
          <w:szCs w:val="32"/>
        </w:rPr>
      </w:pPr>
    </w:p>
    <w:p w14:paraId="40431251">
      <w:pPr>
        <w:rPr>
          <w:rFonts w:hint="eastAsia" w:ascii="宋体" w:hAnsi="宋体" w:cs="宋体"/>
          <w:b/>
          <w:sz w:val="32"/>
          <w:szCs w:val="32"/>
        </w:rPr>
      </w:pPr>
    </w:p>
    <w:p w14:paraId="6A7D1407">
      <w:pPr>
        <w:rPr>
          <w:rFonts w:hint="eastAsia" w:ascii="宋体" w:hAnsi="宋体" w:cs="宋体"/>
          <w:b/>
          <w:sz w:val="32"/>
          <w:szCs w:val="32"/>
        </w:rPr>
      </w:pPr>
      <w:r>
        <w:rPr>
          <w:rFonts w:hint="eastAsia" w:ascii="宋体" w:hAnsi="宋体" w:cs="宋体"/>
          <w:b/>
          <w:sz w:val="32"/>
          <w:szCs w:val="32"/>
        </w:rPr>
        <w:t>质疑函制作说明：</w:t>
      </w:r>
    </w:p>
    <w:p w14:paraId="66223FF8">
      <w:pPr>
        <w:widowControl/>
        <w:ind w:firstLine="640"/>
        <w:jc w:val="left"/>
        <w:rPr>
          <w:rFonts w:hint="eastAsia" w:ascii="宋体" w:hAnsi="宋体" w:cs="宋体"/>
          <w:sz w:val="32"/>
          <w:szCs w:val="32"/>
        </w:rPr>
      </w:pPr>
      <w:r>
        <w:rPr>
          <w:rFonts w:hint="eastAsia" w:ascii="宋体" w:hAnsi="宋体" w:cs="宋体"/>
          <w:sz w:val="32"/>
          <w:szCs w:val="32"/>
        </w:rPr>
        <w:t>1.供应商提出质疑时，应提交质疑函和必要的证明材料。</w:t>
      </w:r>
    </w:p>
    <w:p w14:paraId="0DEC8370">
      <w:pPr>
        <w:widowControl/>
        <w:ind w:firstLine="640"/>
        <w:jc w:val="left"/>
        <w:rPr>
          <w:rFonts w:hint="eastAsia" w:ascii="宋体" w:hAnsi="宋体" w:cs="宋体"/>
          <w:sz w:val="32"/>
          <w:szCs w:val="32"/>
        </w:rPr>
      </w:pPr>
      <w:r>
        <w:rPr>
          <w:rFonts w:hint="eastAsia" w:ascii="宋体" w:hAnsi="宋体" w:cs="宋体"/>
          <w:sz w:val="32"/>
          <w:szCs w:val="32"/>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2D218F28">
      <w:pPr>
        <w:widowControl/>
        <w:ind w:firstLine="640"/>
        <w:jc w:val="left"/>
        <w:rPr>
          <w:rFonts w:hint="eastAsia" w:ascii="宋体" w:hAnsi="宋体" w:cs="宋体"/>
          <w:sz w:val="32"/>
          <w:szCs w:val="32"/>
        </w:rPr>
      </w:pPr>
      <w:r>
        <w:rPr>
          <w:rFonts w:hint="eastAsia" w:ascii="宋体" w:hAnsi="宋体" w:cs="宋体"/>
          <w:sz w:val="32"/>
          <w:szCs w:val="32"/>
        </w:rPr>
        <w:t>3.质疑供应商若对项目的某一分包进行质疑，质疑函中应列明具体分包号。</w:t>
      </w:r>
    </w:p>
    <w:p w14:paraId="063572FC">
      <w:pPr>
        <w:widowControl/>
        <w:ind w:firstLine="640"/>
        <w:jc w:val="left"/>
        <w:rPr>
          <w:rFonts w:hint="eastAsia" w:ascii="宋体" w:hAnsi="宋体" w:cs="宋体"/>
          <w:sz w:val="32"/>
          <w:szCs w:val="32"/>
        </w:rPr>
      </w:pPr>
      <w:r>
        <w:rPr>
          <w:rFonts w:hint="eastAsia" w:ascii="宋体" w:hAnsi="宋体" w:cs="宋体"/>
          <w:sz w:val="32"/>
          <w:szCs w:val="32"/>
        </w:rPr>
        <w:t>4.质疑函的质疑事项应具体、明确，并有必要的事实依据和法律依据。</w:t>
      </w:r>
    </w:p>
    <w:p w14:paraId="193DEA7C">
      <w:pPr>
        <w:widowControl/>
        <w:ind w:firstLine="640"/>
        <w:jc w:val="left"/>
        <w:rPr>
          <w:rFonts w:hint="eastAsia" w:ascii="宋体" w:hAnsi="宋体" w:cs="宋体"/>
          <w:sz w:val="32"/>
          <w:szCs w:val="32"/>
        </w:rPr>
      </w:pPr>
      <w:r>
        <w:rPr>
          <w:rFonts w:hint="eastAsia" w:ascii="宋体" w:hAnsi="宋体" w:cs="宋体"/>
          <w:sz w:val="32"/>
          <w:szCs w:val="32"/>
        </w:rPr>
        <w:t>5.质疑函的质疑请求应与质疑事项相关。</w:t>
      </w:r>
    </w:p>
    <w:p w14:paraId="6FFBF10A">
      <w:pPr>
        <w:widowControl/>
        <w:ind w:firstLine="640"/>
        <w:jc w:val="left"/>
        <w:rPr>
          <w:rFonts w:hint="eastAsia" w:ascii="宋体" w:hAnsi="宋体" w:cs="宋体"/>
          <w:sz w:val="32"/>
          <w:szCs w:val="32"/>
        </w:rPr>
      </w:pPr>
      <w:r>
        <w:rPr>
          <w:rFonts w:hint="eastAsia" w:ascii="宋体" w:hAnsi="宋体" w:cs="宋体"/>
          <w:sz w:val="32"/>
          <w:szCs w:val="32"/>
        </w:rPr>
        <w:t>6.质疑供应商为自然人的，质疑函应由本人签字；质疑供应商为法人或者其他组织的，质疑函应由法定代表人、主要负责人，或者其授权代表签字或者盖章，并加盖公章。</w:t>
      </w:r>
    </w:p>
    <w:p w14:paraId="49320143">
      <w:pPr>
        <w:rPr>
          <w:rFonts w:hint="eastAsia" w:ascii="仿宋" w:hAnsi="仿宋" w:eastAsia="仿宋" w:cs="仿宋"/>
          <w:b/>
          <w:color w:val="000000"/>
          <w:sz w:val="84"/>
          <w:szCs w:val="84"/>
        </w:rPr>
      </w:pPr>
    </w:p>
    <w:sectPr>
      <w:footerReference r:id="rId7" w:type="default"/>
      <w:pgSz w:w="11907" w:h="16839"/>
      <w:pgMar w:top="1440" w:right="1800" w:bottom="1440" w:left="1800" w:header="720" w:footer="737"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新宋体">
    <w:panose1 w:val="02010609030101010101"/>
    <w:charset w:val="86"/>
    <w:family w:val="auto"/>
    <w:pitch w:val="default"/>
    <w:sig w:usb0="00000203" w:usb1="288F0000" w:usb2="00000006" w:usb3="00000000" w:csb0="00040001" w:csb1="00000000"/>
  </w:font>
  <w:font w:name="monospace">
    <w:altName w:val="DejaVu Math TeX Gyre"/>
    <w:panose1 w:val="020B0503020202020204"/>
    <w:charset w:val="00"/>
    <w:family w:val="auto"/>
    <w:pitch w:val="default"/>
    <w:sig w:usb0="00000000" w:usb1="00000000" w:usb2="00000000" w:usb3="00000000" w:csb0="00000000" w:csb1="00000000"/>
  </w:font>
  <w:font w:name="DejaVu Math TeX Gyre">
    <w:panose1 w:val="02000503000000000000"/>
    <w:charset w:val="00"/>
    <w:family w:val="auto"/>
    <w:pitch w:val="default"/>
    <w:sig w:usb0="A10000EF" w:usb1="4201F9EE" w:usb2="02000000" w:usb3="00000000" w:csb0="60000193" w:csb1="0DD40000"/>
  </w:font>
  <w:font w:name="仿宋_GB2312">
    <w:panose1 w:val="02010609030101010101"/>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 w:name="Verdana">
    <w:panose1 w:val="020B0604030504040204"/>
    <w:charset w:val="00"/>
    <w:family w:val="auto"/>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方正仿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B8B8EC">
    <w:pPr>
      <w:pStyle w:val="2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bwMode="auto">
                      <a:xfrm>
                        <a:off x="0" y="0"/>
                        <a:ext cx="1828800" cy="1828800"/>
                      </a:xfrm>
                      <a:prstGeom prst="rect">
                        <a:avLst/>
                      </a:prstGeom>
                      <a:noFill/>
                      <a:ln>
                        <a:noFill/>
                      </a:ln>
                    </wps:spPr>
                    <wps:txbx>
                      <w:txbxContent>
                        <w:p w14:paraId="70D1C21B">
                          <w:pPr>
                            <w:pStyle w:val="212"/>
                          </w:pPr>
                          <w:r>
                            <w:fldChar w:fldCharType="begin"/>
                          </w:r>
                          <w:r>
                            <w:instrText xml:space="preserve"> PAGE  \* MERGEFORMAT </w:instrText>
                          </w:r>
                          <w:r>
                            <w:fldChar w:fldCharType="separate"/>
                          </w:r>
                          <w:r>
                            <w:t>29</w:t>
                          </w:r>
                          <w:r>
                            <w:fldChar w:fldCharType="end"/>
                          </w:r>
                        </w:p>
                        <w:p w14:paraId="3A3813A3"/>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M6pebnPAAAABQEAAA8AAAAAAAAAAQAgAAAAIgAAAGRycy9k&#10;b3ducmV2LnhtbFBLAQIUABQAAAAIAIdO4kAWckjz0gEAAKcDAAAOAAAAAAAAAAEAIAAAAB4BAABk&#10;cnMvZTJvRG9jLnhtbFBLBQYAAAAABgAGAFkBAABiBQAAAAA=&#10;">
              <v:fill on="f" focussize="0,0"/>
              <v:stroke on="f"/>
              <v:imagedata o:title=""/>
              <o:lock v:ext="edit" aspectratio="f"/>
              <v:textbox inset="0mm,0mm,0mm,0mm" style="mso-fit-shape-to-text:t;">
                <w:txbxContent>
                  <w:p w14:paraId="70D1C21B">
                    <w:pPr>
                      <w:pStyle w:val="212"/>
                    </w:pPr>
                    <w:r>
                      <w:fldChar w:fldCharType="begin"/>
                    </w:r>
                    <w:r>
                      <w:instrText xml:space="preserve"> PAGE  \* MERGEFORMAT </w:instrText>
                    </w:r>
                    <w:r>
                      <w:fldChar w:fldCharType="separate"/>
                    </w:r>
                    <w:r>
                      <w:t>29</w:t>
                    </w:r>
                    <w:r>
                      <w:fldChar w:fldCharType="end"/>
                    </w:r>
                  </w:p>
                  <w:p w14:paraId="3A3813A3"/>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6D5D32">
    <w:pPr>
      <w:pStyle w:val="212"/>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bwMode="auto">
                      <a:xfrm>
                        <a:off x="0" y="0"/>
                        <a:ext cx="1828800" cy="1828800"/>
                      </a:xfrm>
                      <a:prstGeom prst="rect">
                        <a:avLst/>
                      </a:prstGeom>
                      <a:noFill/>
                      <a:ln>
                        <a:noFill/>
                      </a:ln>
                    </wps:spPr>
                    <wps:txbx>
                      <w:txbxContent>
                        <w:p w14:paraId="1CF5B951">
                          <w:pPr>
                            <w:pStyle w:val="212"/>
                          </w:pPr>
                          <w:r>
                            <w:fldChar w:fldCharType="begin"/>
                          </w:r>
                          <w:r>
                            <w:instrText xml:space="preserve"> PAGE  \* MERGEFORMAT </w:instrText>
                          </w:r>
                          <w:r>
                            <w:fldChar w:fldCharType="separate"/>
                          </w:r>
                          <w:r>
                            <w:t>34</w:t>
                          </w:r>
                          <w:r>
                            <w:fldChar w:fldCharType="end"/>
                          </w:r>
                        </w:p>
                        <w:p w14:paraId="20FBF4AF"/>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M6pebnPAAAABQEAAA8AAAAAAAAAAQAgAAAAIgAAAGRycy9k&#10;b3ducmV2LnhtbFBLAQIUABQAAAAIAIdO4kAnrE9i0gEAAKcDAAAOAAAAAAAAAAEAIAAAAB4BAABk&#10;cnMvZTJvRG9jLnhtbFBLBQYAAAAABgAGAFkBAABiBQAAAAA=&#10;">
              <v:fill on="f" focussize="0,0"/>
              <v:stroke on="f"/>
              <v:imagedata o:title=""/>
              <o:lock v:ext="edit" aspectratio="f"/>
              <v:textbox inset="0mm,0mm,0mm,0mm" style="mso-fit-shape-to-text:t;">
                <w:txbxContent>
                  <w:p w14:paraId="1CF5B951">
                    <w:pPr>
                      <w:pStyle w:val="212"/>
                    </w:pPr>
                    <w:r>
                      <w:fldChar w:fldCharType="begin"/>
                    </w:r>
                    <w:r>
                      <w:instrText xml:space="preserve"> PAGE  \* MERGEFORMAT </w:instrText>
                    </w:r>
                    <w:r>
                      <w:fldChar w:fldCharType="separate"/>
                    </w:r>
                    <w:r>
                      <w:t>34</w:t>
                    </w:r>
                    <w:r>
                      <w:fldChar w:fldCharType="end"/>
                    </w:r>
                  </w:p>
                  <w:p w14:paraId="20FBF4AF"/>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A6A521">
    <w:pPr>
      <w:spacing w:line="14" w:lineRule="auto"/>
      <w:rPr>
        <w:sz w:val="20"/>
        <w:szCs w:val="20"/>
      </w:rPr>
    </w:pPr>
    <w:r>
      <mc:AlternateContent>
        <mc:Choice Requires="wps">
          <w:drawing>
            <wp:anchor distT="0" distB="0" distL="114300" distR="114300" simplePos="0" relativeHeight="251660288" behindDoc="1" locked="0" layoutInCell="1" allowOverlap="1">
              <wp:simplePos x="0" y="0"/>
              <wp:positionH relativeFrom="page">
                <wp:posOffset>3704590</wp:posOffset>
              </wp:positionH>
              <wp:positionV relativeFrom="page">
                <wp:posOffset>10010775</wp:posOffset>
              </wp:positionV>
              <wp:extent cx="356235" cy="149860"/>
              <wp:effectExtent l="0" t="0" r="0" b="0"/>
              <wp:wrapNone/>
              <wp:docPr id="3" name="文本框 3"/>
              <wp:cNvGraphicFramePr/>
              <a:graphic xmlns:a="http://schemas.openxmlformats.org/drawingml/2006/main">
                <a:graphicData uri="http://schemas.microsoft.com/office/word/2010/wordprocessingShape">
                  <wps:wsp>
                    <wps:cNvSpPr txBox="1"/>
                    <wps:spPr bwMode="auto">
                      <a:xfrm>
                        <a:off x="0" y="0"/>
                        <a:ext cx="356235" cy="149860"/>
                      </a:xfrm>
                      <a:prstGeom prst="rect">
                        <a:avLst/>
                      </a:prstGeom>
                      <a:noFill/>
                      <a:ln>
                        <a:noFill/>
                      </a:ln>
                    </wps:spPr>
                    <wps:txbx>
                      <w:txbxContent>
                        <w:p w14:paraId="3775D1C6">
                          <w:pPr>
                            <w:spacing w:line="234" w:lineRule="exact"/>
                            <w:ind w:left="40"/>
                            <w:jc w:val="left"/>
                            <w:rPr>
                              <w:rFonts w:eastAsia="Times New Roman"/>
                              <w:szCs w:val="21"/>
                            </w:rPr>
                          </w:pPr>
                          <w:r>
                            <w:fldChar w:fldCharType="begin"/>
                          </w:r>
                          <w:r>
                            <w:rPr>
                              <w:color w:val="231F20"/>
                            </w:rPr>
                            <w:instrText xml:space="preserve"> PAGE </w:instrText>
                          </w:r>
                          <w:r>
                            <w:fldChar w:fldCharType="separate"/>
                          </w:r>
                          <w:r>
                            <w:rPr>
                              <w:color w:val="231F20"/>
                            </w:rPr>
                            <w:t>33</w:t>
                          </w:r>
                          <w:r>
                            <w:fldChar w:fldCharType="end"/>
                          </w:r>
                        </w:p>
                        <w:p w14:paraId="065209F9"/>
                      </w:txbxContent>
                    </wps:txbx>
                    <wps:bodyPr wrap="square" lIns="0" tIns="0" rIns="0" bIns="0" upright="1"/>
                  </wps:wsp>
                </a:graphicData>
              </a:graphic>
            </wp:anchor>
          </w:drawing>
        </mc:Choice>
        <mc:Fallback>
          <w:pict>
            <v:shape id="_x0000_s1026" o:spid="_x0000_s1026" o:spt="202" type="#_x0000_t202" style="position:absolute;left:0pt;margin-left:291.7pt;margin-top:788.25pt;height:11.8pt;width:28.05pt;mso-position-horizontal-relative:page;mso-position-vertical-relative:page;z-index:-251656192;mso-width-relative:page;mso-height-relative:page;" filled="f" stroked="f" coordsize="21600,21600" o:gfxdata="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McsBs2wAAAA0BAAAPAAAAAAAAAAEAIAAA&#10;ACIAAABkcnMvZG93bnJldi54bWxQSwECFAAUAAAACACHTuJAdwvz39ABAACNAwAADgAAAAAAAAAB&#10;ACAAAAAqAQAAZHJzL2Uyb0RvYy54bWxQSwUGAAAAAAYABgBZAQAAbAUAAAAA&#10;">
              <v:fill on="f" focussize="0,0"/>
              <v:stroke on="f"/>
              <v:imagedata o:title=""/>
              <o:lock v:ext="edit" aspectratio="f"/>
              <v:textbox inset="0mm,0mm,0mm,0mm">
                <w:txbxContent>
                  <w:p w14:paraId="3775D1C6">
                    <w:pPr>
                      <w:spacing w:line="234" w:lineRule="exact"/>
                      <w:ind w:left="40"/>
                      <w:jc w:val="left"/>
                      <w:rPr>
                        <w:rFonts w:eastAsia="Times New Roman"/>
                        <w:szCs w:val="21"/>
                      </w:rPr>
                    </w:pPr>
                    <w:r>
                      <w:fldChar w:fldCharType="begin"/>
                    </w:r>
                    <w:r>
                      <w:rPr>
                        <w:color w:val="231F20"/>
                      </w:rPr>
                      <w:instrText xml:space="preserve"> PAGE </w:instrText>
                    </w:r>
                    <w:r>
                      <w:fldChar w:fldCharType="separate"/>
                    </w:r>
                    <w:r>
                      <w:rPr>
                        <w:color w:val="231F20"/>
                      </w:rPr>
                      <w:t>33</w:t>
                    </w:r>
                    <w:r>
                      <w:fldChar w:fldCharType="end"/>
                    </w:r>
                  </w:p>
                  <w:p w14:paraId="065209F9"/>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7435E2">
    <w:pPr>
      <w:pStyle w:val="214"/>
      <w:pBdr>
        <w:bottom w:val="none" w:color="000000"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97BA5A">
    <w:pPr>
      <w:pStyle w:val="214"/>
      <w:pBdr>
        <w:bottom w:val="none" w:color="000000"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AB7B667"/>
    <w:multiLevelType w:val="singleLevel"/>
    <w:tmpl w:val="4AB7B667"/>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7"/>
  <w:documentProtection w:enforcement="0"/>
  <w:defaultTabStop w:val="420"/>
  <w:evenAndOddHeaders w:val="1"/>
  <w:characterSpacingControl w:val="doNotCompress"/>
  <w:compat>
    <w:balanceSingleByteDoubleByteWidth/>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hmYTM4ZDQ0OTIyOTc4ZDI1MjJiMzJjMTU1ODUxMTgifQ=="/>
  </w:docVars>
  <w:rsids>
    <w:rsidRoot w:val="00000000"/>
    <w:rsid w:val="046B70B1"/>
    <w:rsid w:val="05D76FBA"/>
    <w:rsid w:val="07BC3DCF"/>
    <w:rsid w:val="1118045C"/>
    <w:rsid w:val="242136F5"/>
    <w:rsid w:val="27FE02BA"/>
    <w:rsid w:val="339F24AB"/>
    <w:rsid w:val="36122B22"/>
    <w:rsid w:val="36460874"/>
    <w:rsid w:val="3C7071FA"/>
    <w:rsid w:val="44244F28"/>
    <w:rsid w:val="451A2EFB"/>
    <w:rsid w:val="47900923"/>
    <w:rsid w:val="4FF05156"/>
    <w:rsid w:val="51075A96"/>
    <w:rsid w:val="56072B7F"/>
    <w:rsid w:val="65366619"/>
    <w:rsid w:val="6A3930CA"/>
    <w:rsid w:val="6D985EF0"/>
    <w:rsid w:val="7911592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qFormat="1"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qFormat="1" w:uiPriority="99" w:semiHidden="0" w:name="table of figures"/>
    <w:lsdException w:uiPriority="99" w:name="envelope address"/>
    <w:lsdException w:qFormat="1" w:unhideWhenUsed="0" w:uiPriority="0" w:semiHidden="0" w:name="envelope return"/>
    <w:lsdException w:qFormat="1" w:uiPriority="99" w:semiHidden="0" w:name="footnote reference"/>
    <w:lsdException w:uiPriority="99"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qFormat="1" w:uiPriority="99" w:semiHidden="0"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60"/>
    <w:autoRedefine/>
    <w:qFormat/>
    <w:uiPriority w:val="0"/>
    <w:pPr>
      <w:widowControl w:val="0"/>
      <w:jc w:val="both"/>
    </w:pPr>
    <w:rPr>
      <w:rFonts w:hint="default" w:ascii="Times New Roman" w:hAnsi="Times New Roman" w:eastAsia="宋体" w:cs="Times New Roman"/>
      <w:sz w:val="21"/>
      <w:szCs w:val="24"/>
      <w:lang w:val="en-US" w:eastAsia="zh-CN" w:bidi="ar-SA"/>
    </w:rPr>
  </w:style>
  <w:style w:type="paragraph" w:styleId="3">
    <w:name w:val="heading 1"/>
    <w:basedOn w:val="1"/>
    <w:next w:val="1"/>
    <w:link w:val="41"/>
    <w:autoRedefine/>
    <w:qFormat/>
    <w:uiPriority w:val="9"/>
    <w:pPr>
      <w:keepNext/>
      <w:keepLines/>
      <w:spacing w:before="480" w:after="200"/>
      <w:outlineLvl w:val="0"/>
    </w:pPr>
    <w:rPr>
      <w:rFonts w:ascii="Arial" w:hAnsi="Arial" w:eastAsia="Arial" w:cs="Arial"/>
      <w:sz w:val="40"/>
      <w:szCs w:val="40"/>
    </w:rPr>
  </w:style>
  <w:style w:type="paragraph" w:styleId="4">
    <w:name w:val="heading 2"/>
    <w:basedOn w:val="1"/>
    <w:next w:val="1"/>
    <w:link w:val="42"/>
    <w:autoRedefine/>
    <w:unhideWhenUsed/>
    <w:qFormat/>
    <w:uiPriority w:val="9"/>
    <w:pPr>
      <w:keepNext/>
      <w:keepLines/>
      <w:spacing w:before="360" w:after="200"/>
      <w:outlineLvl w:val="1"/>
    </w:pPr>
    <w:rPr>
      <w:rFonts w:ascii="Arial" w:hAnsi="Arial" w:eastAsia="Arial" w:cs="Arial"/>
      <w:sz w:val="34"/>
    </w:rPr>
  </w:style>
  <w:style w:type="paragraph" w:styleId="5">
    <w:name w:val="heading 3"/>
    <w:basedOn w:val="1"/>
    <w:next w:val="1"/>
    <w:link w:val="43"/>
    <w:autoRedefine/>
    <w:unhideWhenUsed/>
    <w:qFormat/>
    <w:uiPriority w:val="9"/>
    <w:pPr>
      <w:keepNext/>
      <w:keepLines/>
      <w:spacing w:before="320" w:after="200"/>
      <w:outlineLvl w:val="2"/>
    </w:pPr>
    <w:rPr>
      <w:rFonts w:ascii="Arial" w:hAnsi="Arial" w:eastAsia="Arial" w:cs="Arial"/>
      <w:sz w:val="30"/>
      <w:szCs w:val="30"/>
    </w:rPr>
  </w:style>
  <w:style w:type="paragraph" w:styleId="6">
    <w:name w:val="heading 4"/>
    <w:basedOn w:val="1"/>
    <w:next w:val="1"/>
    <w:link w:val="44"/>
    <w:autoRedefine/>
    <w:unhideWhenUsed/>
    <w:qFormat/>
    <w:uiPriority w:val="9"/>
    <w:pPr>
      <w:keepNext/>
      <w:keepLines/>
      <w:spacing w:before="320" w:after="200"/>
      <w:outlineLvl w:val="3"/>
    </w:pPr>
    <w:rPr>
      <w:rFonts w:ascii="Arial" w:hAnsi="Arial" w:eastAsia="Arial" w:cs="Arial"/>
      <w:b/>
      <w:bCs/>
      <w:sz w:val="26"/>
      <w:szCs w:val="26"/>
    </w:rPr>
  </w:style>
  <w:style w:type="paragraph" w:styleId="7">
    <w:name w:val="heading 5"/>
    <w:basedOn w:val="1"/>
    <w:next w:val="1"/>
    <w:link w:val="45"/>
    <w:autoRedefine/>
    <w:unhideWhenUsed/>
    <w:qFormat/>
    <w:uiPriority w:val="9"/>
    <w:pPr>
      <w:keepNext/>
      <w:keepLines/>
      <w:spacing w:before="320" w:after="200"/>
      <w:outlineLvl w:val="4"/>
    </w:pPr>
    <w:rPr>
      <w:rFonts w:ascii="Arial" w:hAnsi="Arial" w:eastAsia="Arial" w:cs="Arial"/>
      <w:b/>
      <w:bCs/>
      <w:sz w:val="24"/>
      <w:szCs w:val="24"/>
    </w:rPr>
  </w:style>
  <w:style w:type="paragraph" w:styleId="8">
    <w:name w:val="heading 6"/>
    <w:basedOn w:val="1"/>
    <w:next w:val="1"/>
    <w:link w:val="46"/>
    <w:autoRedefine/>
    <w:unhideWhenUsed/>
    <w:qFormat/>
    <w:uiPriority w:val="9"/>
    <w:pPr>
      <w:keepNext/>
      <w:keepLines/>
      <w:spacing w:before="320" w:after="200"/>
      <w:outlineLvl w:val="5"/>
    </w:pPr>
    <w:rPr>
      <w:rFonts w:ascii="Arial" w:hAnsi="Arial" w:eastAsia="Arial" w:cs="Arial"/>
      <w:b/>
      <w:bCs/>
      <w:sz w:val="22"/>
      <w:szCs w:val="22"/>
    </w:rPr>
  </w:style>
  <w:style w:type="paragraph" w:styleId="9">
    <w:name w:val="heading 7"/>
    <w:basedOn w:val="1"/>
    <w:next w:val="1"/>
    <w:link w:val="47"/>
    <w:autoRedefine/>
    <w:unhideWhenUsed/>
    <w:qFormat/>
    <w:uiPriority w:val="9"/>
    <w:pPr>
      <w:keepNext/>
      <w:keepLines/>
      <w:spacing w:before="320" w:after="200"/>
      <w:outlineLvl w:val="6"/>
    </w:pPr>
    <w:rPr>
      <w:rFonts w:ascii="Arial" w:hAnsi="Arial" w:eastAsia="Arial" w:cs="Arial"/>
      <w:b/>
      <w:bCs/>
      <w:i/>
      <w:iCs/>
      <w:sz w:val="22"/>
      <w:szCs w:val="22"/>
    </w:rPr>
  </w:style>
  <w:style w:type="paragraph" w:styleId="10">
    <w:name w:val="heading 8"/>
    <w:basedOn w:val="1"/>
    <w:next w:val="1"/>
    <w:link w:val="48"/>
    <w:autoRedefine/>
    <w:unhideWhenUsed/>
    <w:qFormat/>
    <w:uiPriority w:val="9"/>
    <w:pPr>
      <w:keepNext/>
      <w:keepLines/>
      <w:spacing w:before="320" w:after="200"/>
      <w:outlineLvl w:val="7"/>
    </w:pPr>
    <w:rPr>
      <w:rFonts w:ascii="Arial" w:hAnsi="Arial" w:eastAsia="Arial" w:cs="Arial"/>
      <w:i/>
      <w:iCs/>
      <w:sz w:val="22"/>
      <w:szCs w:val="22"/>
    </w:rPr>
  </w:style>
  <w:style w:type="paragraph" w:styleId="11">
    <w:name w:val="heading 9"/>
    <w:basedOn w:val="1"/>
    <w:next w:val="1"/>
    <w:link w:val="49"/>
    <w:autoRedefine/>
    <w:unhideWhenUsed/>
    <w:qFormat/>
    <w:uiPriority w:val="9"/>
    <w:pPr>
      <w:keepNext/>
      <w:keepLines/>
      <w:spacing w:before="320" w:after="200"/>
      <w:outlineLvl w:val="8"/>
    </w:pPr>
    <w:rPr>
      <w:rFonts w:ascii="Arial" w:hAnsi="Arial" w:eastAsia="Arial" w:cs="Arial"/>
      <w:i/>
      <w:iCs/>
      <w:sz w:val="21"/>
      <w:szCs w:val="21"/>
    </w:rPr>
  </w:style>
  <w:style w:type="character" w:default="1" w:styleId="37">
    <w:name w:val="Default Paragraph Font"/>
    <w:autoRedefine/>
    <w:semiHidden/>
    <w:unhideWhenUsed/>
    <w:qFormat/>
    <w:uiPriority w:val="1"/>
  </w:style>
  <w:style w:type="table" w:default="1" w:styleId="35">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1"/>
    <w:autoRedefine/>
    <w:qFormat/>
    <w:uiPriority w:val="0"/>
    <w:pPr>
      <w:spacing w:after="120"/>
    </w:pPr>
  </w:style>
  <w:style w:type="paragraph" w:styleId="12">
    <w:name w:val="toc 7"/>
    <w:basedOn w:val="1"/>
    <w:next w:val="1"/>
    <w:autoRedefine/>
    <w:unhideWhenUsed/>
    <w:qFormat/>
    <w:uiPriority w:val="39"/>
    <w:pPr>
      <w:spacing w:after="57"/>
      <w:ind w:left="1701" w:right="0" w:firstLine="0"/>
    </w:pPr>
  </w:style>
  <w:style w:type="paragraph" w:styleId="13">
    <w:name w:val="caption"/>
    <w:basedOn w:val="1"/>
    <w:next w:val="1"/>
    <w:autoRedefine/>
    <w:semiHidden/>
    <w:unhideWhenUsed/>
    <w:qFormat/>
    <w:uiPriority w:val="35"/>
    <w:pPr>
      <w:spacing w:line="276" w:lineRule="auto"/>
    </w:pPr>
    <w:rPr>
      <w:b/>
      <w:bCs/>
      <w:color w:val="4F81BD" w:themeColor="accent1"/>
      <w:sz w:val="18"/>
      <w:szCs w:val="18"/>
      <w14:textFill>
        <w14:solidFill>
          <w14:schemeClr w14:val="accent1"/>
        </w14:solidFill>
      </w14:textFill>
    </w:rPr>
  </w:style>
  <w:style w:type="paragraph" w:styleId="14">
    <w:name w:val="Body Text Indent"/>
    <w:basedOn w:val="1"/>
    <w:next w:val="15"/>
    <w:autoRedefine/>
    <w:qFormat/>
    <w:uiPriority w:val="0"/>
    <w:pPr>
      <w:ind w:left="480"/>
    </w:pPr>
    <w:rPr>
      <w:sz w:val="24"/>
    </w:rPr>
  </w:style>
  <w:style w:type="paragraph" w:styleId="15">
    <w:name w:val="envelope return"/>
    <w:basedOn w:val="1"/>
    <w:autoRedefine/>
    <w:qFormat/>
    <w:uiPriority w:val="0"/>
    <w:pPr>
      <w:snapToGrid w:val="0"/>
    </w:pPr>
    <w:rPr>
      <w:rFonts w:ascii="Arial" w:hAnsi="Arial"/>
    </w:rPr>
  </w:style>
  <w:style w:type="paragraph" w:styleId="16">
    <w:name w:val="Block Text"/>
    <w:basedOn w:val="1"/>
    <w:unhideWhenUsed/>
    <w:qFormat/>
    <w:uiPriority w:val="99"/>
    <w:pPr>
      <w:spacing w:after="120"/>
      <w:ind w:left="1440" w:leftChars="700" w:right="1440" w:rightChars="700"/>
    </w:pPr>
  </w:style>
  <w:style w:type="paragraph" w:styleId="17">
    <w:name w:val="toc 5"/>
    <w:basedOn w:val="1"/>
    <w:next w:val="1"/>
    <w:autoRedefine/>
    <w:unhideWhenUsed/>
    <w:qFormat/>
    <w:uiPriority w:val="39"/>
    <w:pPr>
      <w:spacing w:after="57"/>
      <w:ind w:left="1134" w:right="0" w:firstLine="0"/>
    </w:pPr>
  </w:style>
  <w:style w:type="paragraph" w:styleId="18">
    <w:name w:val="toc 3"/>
    <w:basedOn w:val="1"/>
    <w:next w:val="1"/>
    <w:autoRedefine/>
    <w:unhideWhenUsed/>
    <w:qFormat/>
    <w:uiPriority w:val="39"/>
    <w:pPr>
      <w:spacing w:after="57"/>
      <w:ind w:left="567" w:right="0" w:firstLine="0"/>
    </w:pPr>
  </w:style>
  <w:style w:type="paragraph" w:styleId="19">
    <w:name w:val="toc 8"/>
    <w:basedOn w:val="1"/>
    <w:next w:val="1"/>
    <w:autoRedefine/>
    <w:unhideWhenUsed/>
    <w:qFormat/>
    <w:uiPriority w:val="39"/>
    <w:pPr>
      <w:spacing w:after="57"/>
      <w:ind w:left="1984" w:right="0" w:firstLine="0"/>
    </w:pPr>
  </w:style>
  <w:style w:type="paragraph" w:styleId="20">
    <w:name w:val="endnote text"/>
    <w:basedOn w:val="1"/>
    <w:link w:val="187"/>
    <w:autoRedefine/>
    <w:semiHidden/>
    <w:unhideWhenUsed/>
    <w:qFormat/>
    <w:uiPriority w:val="99"/>
    <w:pPr>
      <w:spacing w:after="0" w:line="240" w:lineRule="auto"/>
    </w:pPr>
    <w:rPr>
      <w:sz w:val="20"/>
    </w:rPr>
  </w:style>
  <w:style w:type="paragraph" w:styleId="21">
    <w:name w:val="footer"/>
    <w:basedOn w:val="1"/>
    <w:link w:val="60"/>
    <w:autoRedefine/>
    <w:unhideWhenUsed/>
    <w:qFormat/>
    <w:uiPriority w:val="99"/>
    <w:pPr>
      <w:tabs>
        <w:tab w:val="center" w:pos="7143"/>
        <w:tab w:val="right" w:pos="14287"/>
      </w:tabs>
      <w:spacing w:after="0" w:line="240" w:lineRule="auto"/>
    </w:pPr>
  </w:style>
  <w:style w:type="paragraph" w:styleId="22">
    <w:name w:val="header"/>
    <w:basedOn w:val="1"/>
    <w:link w:val="58"/>
    <w:autoRedefine/>
    <w:unhideWhenUsed/>
    <w:qFormat/>
    <w:uiPriority w:val="99"/>
    <w:pPr>
      <w:tabs>
        <w:tab w:val="center" w:pos="7143"/>
        <w:tab w:val="right" w:pos="14287"/>
      </w:tabs>
      <w:spacing w:after="0" w:line="240" w:lineRule="auto"/>
    </w:pPr>
  </w:style>
  <w:style w:type="paragraph" w:styleId="23">
    <w:name w:val="toc 1"/>
    <w:basedOn w:val="1"/>
    <w:next w:val="1"/>
    <w:autoRedefine/>
    <w:unhideWhenUsed/>
    <w:qFormat/>
    <w:uiPriority w:val="39"/>
    <w:pPr>
      <w:spacing w:after="57"/>
      <w:ind w:left="0" w:right="0" w:firstLine="0"/>
    </w:pPr>
  </w:style>
  <w:style w:type="paragraph" w:styleId="24">
    <w:name w:val="toc 4"/>
    <w:basedOn w:val="1"/>
    <w:next w:val="1"/>
    <w:autoRedefine/>
    <w:unhideWhenUsed/>
    <w:qFormat/>
    <w:uiPriority w:val="39"/>
    <w:pPr>
      <w:spacing w:after="57"/>
      <w:ind w:left="850" w:right="0" w:firstLine="0"/>
    </w:pPr>
  </w:style>
  <w:style w:type="paragraph" w:styleId="25">
    <w:name w:val="Subtitle"/>
    <w:basedOn w:val="1"/>
    <w:next w:val="1"/>
    <w:link w:val="53"/>
    <w:autoRedefine/>
    <w:qFormat/>
    <w:uiPriority w:val="11"/>
    <w:pPr>
      <w:spacing w:before="200" w:after="200"/>
    </w:pPr>
    <w:rPr>
      <w:sz w:val="24"/>
      <w:szCs w:val="24"/>
    </w:rPr>
  </w:style>
  <w:style w:type="paragraph" w:styleId="26">
    <w:name w:val="footnote text"/>
    <w:basedOn w:val="1"/>
    <w:link w:val="186"/>
    <w:autoRedefine/>
    <w:semiHidden/>
    <w:unhideWhenUsed/>
    <w:qFormat/>
    <w:uiPriority w:val="99"/>
    <w:pPr>
      <w:spacing w:after="40" w:line="240" w:lineRule="auto"/>
    </w:pPr>
    <w:rPr>
      <w:sz w:val="18"/>
    </w:rPr>
  </w:style>
  <w:style w:type="paragraph" w:styleId="27">
    <w:name w:val="toc 6"/>
    <w:basedOn w:val="1"/>
    <w:next w:val="1"/>
    <w:autoRedefine/>
    <w:unhideWhenUsed/>
    <w:qFormat/>
    <w:uiPriority w:val="39"/>
    <w:pPr>
      <w:spacing w:after="57"/>
      <w:ind w:left="1417" w:right="0" w:firstLine="0"/>
    </w:pPr>
  </w:style>
  <w:style w:type="paragraph" w:styleId="28">
    <w:name w:val="table of figures"/>
    <w:basedOn w:val="1"/>
    <w:next w:val="1"/>
    <w:autoRedefine/>
    <w:unhideWhenUsed/>
    <w:qFormat/>
    <w:uiPriority w:val="99"/>
    <w:pPr>
      <w:spacing w:after="0" w:afterAutospacing="0"/>
    </w:pPr>
  </w:style>
  <w:style w:type="paragraph" w:styleId="29">
    <w:name w:val="toc 2"/>
    <w:basedOn w:val="1"/>
    <w:next w:val="1"/>
    <w:autoRedefine/>
    <w:unhideWhenUsed/>
    <w:qFormat/>
    <w:uiPriority w:val="39"/>
    <w:pPr>
      <w:spacing w:after="57"/>
      <w:ind w:left="283" w:right="0" w:firstLine="0"/>
    </w:pPr>
  </w:style>
  <w:style w:type="paragraph" w:styleId="30">
    <w:name w:val="toc 9"/>
    <w:basedOn w:val="1"/>
    <w:next w:val="1"/>
    <w:autoRedefine/>
    <w:unhideWhenUsed/>
    <w:qFormat/>
    <w:uiPriority w:val="39"/>
    <w:pPr>
      <w:spacing w:after="57"/>
      <w:ind w:left="2268" w:right="0" w:firstLine="0"/>
    </w:pPr>
  </w:style>
  <w:style w:type="paragraph" w:styleId="31">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paragraph" w:styleId="32">
    <w:name w:val="Title"/>
    <w:basedOn w:val="1"/>
    <w:next w:val="1"/>
    <w:link w:val="52"/>
    <w:autoRedefine/>
    <w:qFormat/>
    <w:uiPriority w:val="10"/>
    <w:pPr>
      <w:spacing w:before="300" w:after="200"/>
      <w:contextualSpacing/>
    </w:pPr>
    <w:rPr>
      <w:sz w:val="48"/>
      <w:szCs w:val="48"/>
    </w:rPr>
  </w:style>
  <w:style w:type="paragraph" w:styleId="33">
    <w:name w:val="Body Text First Indent"/>
    <w:basedOn w:val="2"/>
    <w:next w:val="34"/>
    <w:autoRedefine/>
    <w:unhideWhenUsed/>
    <w:qFormat/>
    <w:uiPriority w:val="99"/>
    <w:pPr>
      <w:ind w:firstLine="420" w:firstLineChars="100"/>
    </w:pPr>
  </w:style>
  <w:style w:type="paragraph" w:styleId="34">
    <w:name w:val="Body Text First Indent 2"/>
    <w:basedOn w:val="14"/>
    <w:autoRedefine/>
    <w:qFormat/>
    <w:uiPriority w:val="0"/>
    <w:pPr>
      <w:spacing w:after="120"/>
      <w:ind w:firstLine="200" w:firstLineChars="200"/>
    </w:pPr>
  </w:style>
  <w:style w:type="table" w:styleId="36">
    <w:name w:val="Table Grid"/>
    <w:autoRedefine/>
    <w:qFormat/>
    <w:uiPriority w:val="59"/>
    <w:pPr>
      <w:spacing w:after="0" w:line="240" w:lineRule="auto"/>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38">
    <w:name w:val="endnote reference"/>
    <w:autoRedefine/>
    <w:semiHidden/>
    <w:unhideWhenUsed/>
    <w:qFormat/>
    <w:uiPriority w:val="99"/>
    <w:rPr>
      <w:vertAlign w:val="superscript"/>
    </w:rPr>
  </w:style>
  <w:style w:type="character" w:styleId="39">
    <w:name w:val="Hyperlink"/>
    <w:autoRedefine/>
    <w:unhideWhenUsed/>
    <w:qFormat/>
    <w:uiPriority w:val="99"/>
    <w:rPr>
      <w:color w:val="0000FF" w:themeColor="hyperlink"/>
      <w:u w:val="single"/>
      <w14:textFill>
        <w14:solidFill>
          <w14:schemeClr w14:val="hlink"/>
        </w14:solidFill>
      </w14:textFill>
    </w:rPr>
  </w:style>
  <w:style w:type="character" w:styleId="40">
    <w:name w:val="footnote reference"/>
    <w:autoRedefine/>
    <w:unhideWhenUsed/>
    <w:qFormat/>
    <w:uiPriority w:val="99"/>
    <w:rPr>
      <w:vertAlign w:val="superscript"/>
    </w:rPr>
  </w:style>
  <w:style w:type="character" w:customStyle="1" w:styleId="41">
    <w:name w:val="Heading 1 Char"/>
    <w:link w:val="3"/>
    <w:autoRedefine/>
    <w:qFormat/>
    <w:uiPriority w:val="9"/>
    <w:rPr>
      <w:rFonts w:ascii="Arial" w:hAnsi="Arial" w:eastAsia="Arial" w:cs="Arial"/>
      <w:sz w:val="40"/>
      <w:szCs w:val="40"/>
    </w:rPr>
  </w:style>
  <w:style w:type="character" w:customStyle="1" w:styleId="42">
    <w:name w:val="Heading 2 Char"/>
    <w:link w:val="4"/>
    <w:autoRedefine/>
    <w:qFormat/>
    <w:uiPriority w:val="9"/>
    <w:rPr>
      <w:rFonts w:ascii="Arial" w:hAnsi="Arial" w:eastAsia="Arial" w:cs="Arial"/>
      <w:sz w:val="34"/>
    </w:rPr>
  </w:style>
  <w:style w:type="character" w:customStyle="1" w:styleId="43">
    <w:name w:val="Heading 3 Char"/>
    <w:link w:val="5"/>
    <w:autoRedefine/>
    <w:qFormat/>
    <w:uiPriority w:val="9"/>
    <w:rPr>
      <w:rFonts w:ascii="Arial" w:hAnsi="Arial" w:eastAsia="Arial" w:cs="Arial"/>
      <w:sz w:val="30"/>
      <w:szCs w:val="30"/>
    </w:rPr>
  </w:style>
  <w:style w:type="character" w:customStyle="1" w:styleId="44">
    <w:name w:val="Heading 4 Char"/>
    <w:link w:val="6"/>
    <w:autoRedefine/>
    <w:qFormat/>
    <w:uiPriority w:val="9"/>
    <w:rPr>
      <w:rFonts w:ascii="Arial" w:hAnsi="Arial" w:eastAsia="Arial" w:cs="Arial"/>
      <w:b/>
      <w:bCs/>
      <w:sz w:val="26"/>
      <w:szCs w:val="26"/>
    </w:rPr>
  </w:style>
  <w:style w:type="character" w:customStyle="1" w:styleId="45">
    <w:name w:val="Heading 5 Char"/>
    <w:link w:val="7"/>
    <w:autoRedefine/>
    <w:qFormat/>
    <w:uiPriority w:val="9"/>
    <w:rPr>
      <w:rFonts w:ascii="Arial" w:hAnsi="Arial" w:eastAsia="Arial" w:cs="Arial"/>
      <w:b/>
      <w:bCs/>
      <w:sz w:val="24"/>
      <w:szCs w:val="24"/>
    </w:rPr>
  </w:style>
  <w:style w:type="character" w:customStyle="1" w:styleId="46">
    <w:name w:val="Heading 6 Char"/>
    <w:link w:val="8"/>
    <w:autoRedefine/>
    <w:qFormat/>
    <w:uiPriority w:val="9"/>
    <w:rPr>
      <w:rFonts w:ascii="Arial" w:hAnsi="Arial" w:eastAsia="Arial" w:cs="Arial"/>
      <w:b/>
      <w:bCs/>
      <w:sz w:val="22"/>
      <w:szCs w:val="22"/>
    </w:rPr>
  </w:style>
  <w:style w:type="character" w:customStyle="1" w:styleId="47">
    <w:name w:val="Heading 7 Char"/>
    <w:link w:val="9"/>
    <w:autoRedefine/>
    <w:qFormat/>
    <w:uiPriority w:val="9"/>
    <w:rPr>
      <w:rFonts w:ascii="Arial" w:hAnsi="Arial" w:eastAsia="Arial" w:cs="Arial"/>
      <w:b/>
      <w:bCs/>
      <w:i/>
      <w:iCs/>
      <w:sz w:val="22"/>
      <w:szCs w:val="22"/>
    </w:rPr>
  </w:style>
  <w:style w:type="character" w:customStyle="1" w:styleId="48">
    <w:name w:val="Heading 8 Char"/>
    <w:link w:val="10"/>
    <w:autoRedefine/>
    <w:qFormat/>
    <w:uiPriority w:val="9"/>
    <w:rPr>
      <w:rFonts w:ascii="Arial" w:hAnsi="Arial" w:eastAsia="Arial" w:cs="Arial"/>
      <w:i/>
      <w:iCs/>
      <w:sz w:val="22"/>
      <w:szCs w:val="22"/>
    </w:rPr>
  </w:style>
  <w:style w:type="character" w:customStyle="1" w:styleId="49">
    <w:name w:val="Heading 9 Char"/>
    <w:link w:val="11"/>
    <w:autoRedefine/>
    <w:qFormat/>
    <w:uiPriority w:val="9"/>
    <w:rPr>
      <w:rFonts w:ascii="Arial" w:hAnsi="Arial" w:eastAsia="Arial" w:cs="Arial"/>
      <w:i/>
      <w:iCs/>
      <w:sz w:val="21"/>
      <w:szCs w:val="21"/>
    </w:rPr>
  </w:style>
  <w:style w:type="paragraph" w:styleId="50">
    <w:name w:val="List Paragraph"/>
    <w:basedOn w:val="1"/>
    <w:autoRedefine/>
    <w:qFormat/>
    <w:uiPriority w:val="34"/>
    <w:pPr>
      <w:ind w:left="720"/>
      <w:contextualSpacing/>
    </w:pPr>
  </w:style>
  <w:style w:type="paragraph" w:styleId="51">
    <w:name w:val="No Spacing"/>
    <w:autoRedefine/>
    <w:qFormat/>
    <w:uiPriority w:val="1"/>
    <w:pPr>
      <w:spacing w:before="0" w:after="0" w:line="240" w:lineRule="auto"/>
    </w:pPr>
    <w:rPr>
      <w:rFonts w:hint="default" w:ascii="Times New Roman" w:hAnsi="Times New Roman" w:eastAsia="宋体" w:cs="Times New Roman"/>
    </w:rPr>
  </w:style>
  <w:style w:type="character" w:customStyle="1" w:styleId="52">
    <w:name w:val="Title Char"/>
    <w:link w:val="32"/>
    <w:autoRedefine/>
    <w:qFormat/>
    <w:uiPriority w:val="10"/>
    <w:rPr>
      <w:sz w:val="48"/>
      <w:szCs w:val="48"/>
    </w:rPr>
  </w:style>
  <w:style w:type="character" w:customStyle="1" w:styleId="53">
    <w:name w:val="Subtitle Char"/>
    <w:link w:val="25"/>
    <w:autoRedefine/>
    <w:qFormat/>
    <w:uiPriority w:val="11"/>
    <w:rPr>
      <w:sz w:val="24"/>
      <w:szCs w:val="24"/>
    </w:rPr>
  </w:style>
  <w:style w:type="paragraph" w:styleId="54">
    <w:name w:val="Quote"/>
    <w:basedOn w:val="1"/>
    <w:next w:val="1"/>
    <w:link w:val="55"/>
    <w:autoRedefine/>
    <w:qFormat/>
    <w:uiPriority w:val="29"/>
    <w:pPr>
      <w:ind w:left="720" w:right="720"/>
    </w:pPr>
    <w:rPr>
      <w:i/>
    </w:rPr>
  </w:style>
  <w:style w:type="character" w:customStyle="1" w:styleId="55">
    <w:name w:val="Quote Char"/>
    <w:link w:val="54"/>
    <w:autoRedefine/>
    <w:qFormat/>
    <w:uiPriority w:val="29"/>
    <w:rPr>
      <w:i/>
    </w:rPr>
  </w:style>
  <w:style w:type="paragraph" w:styleId="56">
    <w:name w:val="Intense Quote"/>
    <w:basedOn w:val="1"/>
    <w:next w:val="1"/>
    <w:link w:val="57"/>
    <w:autoRedefine/>
    <w:qFormat/>
    <w:uiPriority w:val="30"/>
    <w:pPr>
      <w:pBdr>
        <w:top w:val="single" w:color="FFFFFF" w:sz="4" w:space="5"/>
        <w:left w:val="single" w:color="FFFFFF" w:sz="4" w:space="10"/>
        <w:bottom w:val="single" w:color="FFFFFF" w:sz="4" w:space="5"/>
        <w:right w:val="single" w:color="FFFFFF" w:sz="4" w:space="10"/>
      </w:pBdr>
      <w:shd w:val="clear" w:color="auto" w:fill="F2F2F2"/>
      <w:ind w:left="720" w:right="720"/>
      <w:contextualSpacing w:val="0"/>
    </w:pPr>
    <w:rPr>
      <w:i/>
    </w:rPr>
  </w:style>
  <w:style w:type="character" w:customStyle="1" w:styleId="57">
    <w:name w:val="Intense Quote Char"/>
    <w:link w:val="56"/>
    <w:autoRedefine/>
    <w:qFormat/>
    <w:uiPriority w:val="30"/>
    <w:rPr>
      <w:i/>
    </w:rPr>
  </w:style>
  <w:style w:type="character" w:customStyle="1" w:styleId="58">
    <w:name w:val="Header Char"/>
    <w:link w:val="22"/>
    <w:autoRedefine/>
    <w:qFormat/>
    <w:uiPriority w:val="99"/>
  </w:style>
  <w:style w:type="character" w:customStyle="1" w:styleId="59">
    <w:name w:val="Footer Char"/>
    <w:link w:val="21"/>
    <w:autoRedefine/>
    <w:qFormat/>
    <w:uiPriority w:val="99"/>
  </w:style>
  <w:style w:type="character" w:customStyle="1" w:styleId="60">
    <w:name w:val="Caption Char"/>
    <w:link w:val="21"/>
    <w:autoRedefine/>
    <w:qFormat/>
    <w:uiPriority w:val="99"/>
  </w:style>
  <w:style w:type="table" w:customStyle="1" w:styleId="61">
    <w:name w:val="Table Grid Light"/>
    <w:autoRedefine/>
    <w:qFormat/>
    <w:uiPriority w:val="59"/>
    <w:pPr>
      <w:spacing w:after="0" w:line="240" w:lineRule="auto"/>
    </w:pPr>
    <w:tblPr>
      <w:tblBorders>
        <w:top w:val="single" w:color="AEAEAE" w:themeColor="text1" w:themeTint="50" w:sz="4" w:space="0"/>
        <w:left w:val="single" w:color="AEAEAE" w:themeColor="text1" w:themeTint="50" w:sz="4" w:space="0"/>
        <w:bottom w:val="single" w:color="AEAEAE" w:themeColor="text1" w:themeTint="50" w:sz="4" w:space="0"/>
        <w:right w:val="single" w:color="AEAEAE" w:themeColor="text1" w:themeTint="50" w:sz="4" w:space="0"/>
        <w:insideH w:val="single" w:color="AEAEAE" w:themeColor="text1" w:themeTint="50" w:sz="4" w:space="0"/>
        <w:insideV w:val="single" w:color="AEAEAE" w:themeColor="text1" w:themeTint="50" w:sz="4" w:space="0"/>
      </w:tblBorders>
      <w:tblCellMar>
        <w:top w:w="0" w:type="dxa"/>
        <w:left w:w="108" w:type="dxa"/>
        <w:bottom w:w="0" w:type="dxa"/>
        <w:right w:w="108" w:type="dxa"/>
      </w:tblCellMar>
    </w:tblPr>
  </w:style>
  <w:style w:type="table" w:customStyle="1" w:styleId="62">
    <w:name w:val="Plain Table 1"/>
    <w:autoRedefine/>
    <w:qFormat/>
    <w:uiPriority w:val="59"/>
    <w:pPr>
      <w:spacing w:after="0" w:line="240" w:lineRule="auto"/>
    </w:pPr>
    <w:tblPr>
      <w:tblBorders>
        <w:top w:val="single" w:color="AEAEAE" w:themeColor="text1" w:themeTint="50" w:sz="4" w:space="0"/>
        <w:left w:val="single" w:color="AEAEAE" w:themeColor="text1" w:themeTint="50" w:sz="4" w:space="0"/>
        <w:bottom w:val="single" w:color="AEAEAE" w:themeColor="text1" w:themeTint="50" w:sz="4" w:space="0"/>
        <w:right w:val="single" w:color="AEAEAE" w:themeColor="text1" w:themeTint="50" w:sz="4" w:space="0"/>
        <w:insideH w:val="single" w:color="AEAEAE" w:themeColor="text1" w:themeTint="50" w:sz="4" w:space="0"/>
        <w:insideV w:val="single" w:color="AEAEAE" w:themeColor="text1" w:themeTint="50" w:sz="4" w:space="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shd w:val="clear" w:color="F1F1F1" w:themeColor="text1" w:themeTint="0D" w:fill="F1F1F1" w:themeFill="text1" w:themeFillTint="0D"/>
      </w:tcPr>
    </w:tblStylePr>
    <w:tblStylePr w:type="band1Horz">
      <w:tcPr>
        <w:shd w:val="clear" w:color="F1F1F1" w:themeColor="text1" w:themeTint="0D" w:fill="F1F1F1" w:themeFill="text1" w:themeFillTint="0D"/>
      </w:tcPr>
    </w:tblStylePr>
  </w:style>
  <w:style w:type="table" w:customStyle="1" w:styleId="63">
    <w:name w:val="Plain Table 2"/>
    <w:autoRedefine/>
    <w:qFormat/>
    <w:uiPriority w:val="59"/>
    <w:pPr>
      <w:spacing w:after="0" w:line="240" w:lineRule="auto"/>
    </w:pPr>
    <w:tblPr>
      <w:tblBorders>
        <w:top w:val="single" w:color="000000" w:themeColor="text1" w:sz="4" w:space="0"/>
        <w:left w:val="none" w:color="000000" w:themeColor="text1" w:sz="4" w:space="0"/>
        <w:bottom w:val="single" w:color="000000" w:themeColor="text1" w:sz="4" w:space="0"/>
        <w:right w:val="none" w:color="000000" w:themeColor="text1" w:sz="4" w:space="0"/>
      </w:tblBorders>
      <w:tblCellMar>
        <w:top w:w="0" w:type="dxa"/>
        <w:left w:w="108" w:type="dxa"/>
        <w:bottom w:w="0" w:type="dxa"/>
        <w:right w:w="108" w:type="dxa"/>
      </w:tblCellMar>
    </w:tblPr>
    <w:tblStylePr w:type="firstRow">
      <w:rPr>
        <w:rFonts w:ascii="Arial" w:hAnsi="Arial"/>
        <w:b/>
        <w:color w:val="404040"/>
        <w:sz w:val="22"/>
      </w:rPr>
      <w:tcPr>
        <w:tcBorders>
          <w:top w:val="single" w:color="000000" w:themeColor="text1" w:sz="4" w:space="0"/>
          <w:bottom w:val="single" w:color="000000" w:themeColor="text1" w:sz="4" w:space="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tcBorders>
          <w:left w:val="single" w:color="000000" w:themeColor="text1" w:sz="4" w:space="0"/>
          <w:right w:val="single" w:color="000000" w:themeColor="text1" w:sz="4" w:space="0"/>
        </w:tcBorders>
      </w:tcPr>
    </w:tblStylePr>
    <w:tblStylePr w:type="band2Vert">
      <w:tcPr>
        <w:tcBorders>
          <w:left w:val="single" w:color="000000" w:themeColor="text1" w:sz="4" w:space="0"/>
          <w:right w:val="single" w:color="000000" w:themeColor="text1" w:sz="4" w:space="0"/>
        </w:tcBorders>
      </w:tcPr>
    </w:tblStylePr>
    <w:tblStylePr w:type="band1Horz">
      <w:tcPr>
        <w:tcBorders>
          <w:top w:val="single" w:color="000000" w:themeColor="text1" w:sz="4" w:space="0"/>
          <w:bottom w:val="single" w:color="000000" w:themeColor="text1" w:sz="4" w:space="0"/>
        </w:tcBorders>
      </w:tcPr>
    </w:tblStylePr>
  </w:style>
  <w:style w:type="table" w:customStyle="1" w:styleId="64">
    <w:name w:val="Plain Table 3"/>
    <w:autoRedefine/>
    <w:qFormat/>
    <w:uiPriority w:val="99"/>
    <w:pPr>
      <w:spacing w:after="0" w:line="240" w:lineRule="auto"/>
    </w:pPr>
    <w:tblStylePr w:type="firstRow">
      <w:rPr>
        <w:b/>
        <w:caps/>
        <w:color w:val="404040"/>
      </w:rPr>
      <w:tcPr>
        <w:tcBorders>
          <w:top w:val="nil"/>
          <w:left w:val="nil"/>
          <w:bottom w:val="single" w:color="404040" w:sz="4" w:space="0"/>
          <w:right w:val="nil"/>
        </w:tcBorders>
      </w:tcPr>
    </w:tblStylePr>
    <w:tblStylePr w:type="lastRow">
      <w:rPr>
        <w:b/>
        <w:caps/>
        <w:color w:val="404040"/>
      </w:rPr>
    </w:tblStylePr>
    <w:tblStylePr w:type="firstCol">
      <w:rPr>
        <w:b/>
        <w:caps/>
        <w:color w:val="404040"/>
      </w:rPr>
      <w:tcPr>
        <w:tcBorders>
          <w:top w:val="nil"/>
          <w:left w:val="nil"/>
          <w:bottom w:val="nil"/>
          <w:right w:val="single" w:color="404040" w:sz="4" w:space="0"/>
        </w:tcBorders>
      </w:tcPr>
    </w:tblStylePr>
    <w:tblStylePr w:type="lastCol">
      <w:rPr>
        <w:b/>
        <w:caps/>
        <w:color w:val="404040"/>
      </w:rPr>
    </w:tblStylePr>
    <w:tblStylePr w:type="band1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cPr>
        <w:shd w:val="clear" w:color="F1F1F1" w:themeColor="text1" w:themeTint="0D" w:fill="F1F1F1" w:themeFill="text1" w:themeFillTint="0D"/>
      </w:tcPr>
    </w:tblStylePr>
  </w:style>
  <w:style w:type="table" w:customStyle="1" w:styleId="65">
    <w:name w:val="Plain Table 4"/>
    <w:autoRedefine/>
    <w:qFormat/>
    <w:uiPriority w:val="99"/>
    <w:pPr>
      <w:spacing w:after="0" w:line="240" w:lineRule="auto"/>
    </w:p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cPr>
        <w:shd w:val="clear" w:color="F1F1F1" w:themeColor="text1" w:themeTint="0D" w:fill="F1F1F1" w:themeFill="text1" w:themeFillTint="0D"/>
      </w:tcPr>
    </w:tblStylePr>
  </w:style>
  <w:style w:type="table" w:customStyle="1" w:styleId="66">
    <w:name w:val="Plain Table 5"/>
    <w:autoRedefine/>
    <w:qFormat/>
    <w:uiPriority w:val="99"/>
    <w:pPr>
      <w:spacing w:after="0" w:line="240" w:lineRule="auto"/>
    </w:pPr>
    <w:tblStylePr w:type="firstRow">
      <w:rPr>
        <w:i/>
        <w:color w:val="404040"/>
      </w:rPr>
      <w:tcPr>
        <w:tcBorders>
          <w:left w:val="nil"/>
          <w:bottom w:val="single" w:color="404040" w:sz="4" w:space="0"/>
          <w:right w:val="nil"/>
        </w:tcBorders>
        <w:shd w:val="clear" w:color="FFFFFF" w:fill="auto"/>
      </w:tcPr>
    </w:tblStylePr>
    <w:tblStylePr w:type="lastRow">
      <w:rPr>
        <w:i/>
        <w:color w:val="404040"/>
      </w:rPr>
      <w:tcPr>
        <w:tcBorders>
          <w:top w:val="single" w:color="404040" w:sz="4" w:space="0"/>
          <w:left w:val="nil"/>
          <w:right w:val="nil"/>
        </w:tcBorders>
        <w:shd w:val="clear" w:color="FFFFFF" w:fill="auto"/>
      </w:tcPr>
    </w:tblStylePr>
    <w:tblStylePr w:type="firstCol">
      <w:pPr>
        <w:jc w:val="right"/>
      </w:pPr>
      <w:rPr>
        <w:i/>
        <w:color w:val="404040"/>
      </w:rPr>
      <w:tcPr>
        <w:tcBorders>
          <w:right w:val="single" w:color="404040" w:sz="4" w:space="0"/>
        </w:tcBorders>
        <w:shd w:val="clear" w:color="FFFFFF" w:fill="auto"/>
      </w:tcPr>
    </w:tblStylePr>
    <w:tblStylePr w:type="lastCol">
      <w:rPr>
        <w:i/>
        <w:color w:val="404040"/>
      </w:rPr>
      <w:tcPr>
        <w:tcBorders>
          <w:left w:val="single" w:color="404040" w:sz="4" w:space="0"/>
        </w:tcBorders>
        <w:shd w:val="clear" w:color="FFFFFF" w:fill="auto"/>
      </w:tcPr>
    </w:tblStylePr>
    <w:tblStylePr w:type="band1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cPr>
        <w:shd w:val="clear" w:color="F1F1F1" w:themeColor="text1" w:themeTint="0D" w:fill="F1F1F1" w:themeFill="text1" w:themeFillTint="0D"/>
      </w:tcPr>
    </w:tblStylePr>
  </w:style>
  <w:style w:type="table" w:customStyle="1" w:styleId="67">
    <w:name w:val="Grid Table 1 Light"/>
    <w:autoRedefine/>
    <w:qFormat/>
    <w:uiPriority w:val="99"/>
    <w:pPr>
      <w:spacing w:after="0" w:line="240" w:lineRule="auto"/>
    </w:pPr>
    <w:tblPr>
      <w:tblBorders>
        <w:top w:val="single" w:color="979797" w:themeColor="text1" w:themeTint="67" w:sz="4" w:space="0"/>
        <w:left w:val="single" w:color="979797" w:themeColor="text1" w:themeTint="67" w:sz="4" w:space="0"/>
        <w:bottom w:val="single" w:color="979797" w:themeColor="text1" w:themeTint="67" w:sz="4" w:space="0"/>
        <w:right w:val="single" w:color="979797" w:themeColor="text1" w:themeTint="67" w:sz="4" w:space="0"/>
        <w:insideH w:val="single" w:color="979797" w:themeColor="text1" w:themeTint="67" w:sz="4" w:space="0"/>
        <w:insideV w:val="single" w:color="979797" w:themeColor="text1" w:themeTint="67" w:sz="4" w:space="0"/>
      </w:tblBorders>
    </w:tblPr>
    <w:tblStylePr w:type="firstRow">
      <w:rPr>
        <w:b/>
        <w:color w:val="404040"/>
      </w:rPr>
      <w:tcPr>
        <w:tcBorders>
          <w:bottom w:val="single" w:color="696969" w:themeColor="text1"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979797" w:themeColor="text1" w:themeTint="67" w:sz="4" w:space="0"/>
          <w:left w:val="single" w:color="979797" w:themeColor="text1" w:themeTint="67" w:sz="4" w:space="0"/>
          <w:bottom w:val="single" w:color="979797" w:themeColor="text1" w:themeTint="67" w:sz="4" w:space="0"/>
          <w:right w:val="single" w:color="979797" w:themeColor="text1" w:themeTint="67" w:sz="4" w:space="0"/>
        </w:tcBorders>
      </w:tcPr>
    </w:tblStylePr>
  </w:style>
  <w:style w:type="table" w:customStyle="1" w:styleId="68">
    <w:name w:val="Grid Table 1 Light - Accent 1"/>
    <w:autoRedefine/>
    <w:qFormat/>
    <w:uiPriority w:val="99"/>
    <w:pPr>
      <w:spacing w:after="0" w:line="240" w:lineRule="auto"/>
    </w:pPr>
    <w:tblPr>
      <w:tbl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insideH w:val="single" w:color="B7CCE4" w:themeColor="accent1" w:themeTint="67" w:sz="4" w:space="0"/>
        <w:insideV w:val="single" w:color="B7CCE4" w:themeColor="accent1" w:themeTint="67" w:sz="4" w:space="0"/>
      </w:tblBorders>
    </w:tblPr>
    <w:tblStylePr w:type="firstRow">
      <w:rPr>
        <w:b/>
        <w:color w:val="404040"/>
      </w:rPr>
      <w:tcPr>
        <w:tcBorders>
          <w:bottom w:val="single" w:color="98B5D8" w:themeColor="accent1"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tcBorders>
      </w:tcPr>
    </w:tblStylePr>
  </w:style>
  <w:style w:type="table" w:customStyle="1" w:styleId="69">
    <w:name w:val="Grid Table 1 Light - Accent 2"/>
    <w:autoRedefine/>
    <w:qFormat/>
    <w:uiPriority w:val="99"/>
    <w:pPr>
      <w:spacing w:after="0" w:line="240" w:lineRule="auto"/>
    </w:pPr>
    <w:tblPr>
      <w:tbl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insideH w:val="single" w:color="E5B8B7" w:themeColor="accent2" w:themeTint="67" w:sz="4" w:space="0"/>
        <w:insideV w:val="single" w:color="E5B8B7" w:themeColor="accent2" w:themeTint="67" w:sz="4" w:space="0"/>
      </w:tblBorders>
    </w:tblPr>
    <w:tblStylePr w:type="firstRow">
      <w:rPr>
        <w:b/>
        <w:color w:val="404040"/>
      </w:rPr>
      <w:tcPr>
        <w:tcBorders>
          <w:bottom w:val="single" w:color="DA9896" w:themeColor="accent2"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tcBorders>
      </w:tcPr>
    </w:tblStylePr>
  </w:style>
  <w:style w:type="table" w:customStyle="1" w:styleId="70">
    <w:name w:val="Grid Table 1 Light - Accent 3"/>
    <w:autoRedefine/>
    <w:qFormat/>
    <w:uiPriority w:val="99"/>
    <w:pPr>
      <w:spacing w:after="0" w:line="240" w:lineRule="auto"/>
    </w:pPr>
    <w:tblPr>
      <w:tbl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insideH w:val="single" w:color="D6E3BB" w:themeColor="accent3" w:themeTint="67" w:sz="4" w:space="0"/>
        <w:insideV w:val="single" w:color="D6E3BB" w:themeColor="accent3" w:themeTint="67" w:sz="4" w:space="0"/>
      </w:tblBorders>
    </w:tblPr>
    <w:tblStylePr w:type="firstRow">
      <w:rPr>
        <w:b/>
        <w:color w:val="404040"/>
      </w:rPr>
      <w:tcPr>
        <w:tcBorders>
          <w:bottom w:val="single" w:color="C4D79E" w:themeColor="accent3"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tcBorders>
      </w:tcPr>
    </w:tblStylePr>
  </w:style>
  <w:style w:type="table" w:customStyle="1" w:styleId="71">
    <w:name w:val="Grid Table 1 Light - Accent 4"/>
    <w:autoRedefine/>
    <w:qFormat/>
    <w:uiPriority w:val="99"/>
    <w:pPr>
      <w:spacing w:after="0" w:line="240" w:lineRule="auto"/>
    </w:pPr>
    <w:tblPr>
      <w:tbl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insideH w:val="single" w:color="CBC0D9" w:themeColor="accent4" w:themeTint="67" w:sz="4" w:space="0"/>
        <w:insideV w:val="single" w:color="CBC0D9" w:themeColor="accent4" w:themeTint="67" w:sz="4" w:space="0"/>
      </w:tblBorders>
    </w:tblPr>
    <w:tblStylePr w:type="firstRow">
      <w:rPr>
        <w:b/>
        <w:color w:val="404040"/>
      </w:rPr>
      <w:tcPr>
        <w:tcBorders>
          <w:bottom w:val="single" w:color="B4A4C8" w:themeColor="accent4"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tcBorders>
      </w:tcPr>
    </w:tblStylePr>
  </w:style>
  <w:style w:type="table" w:customStyle="1" w:styleId="72">
    <w:name w:val="Grid Table 1 Light - Accent 5"/>
    <w:autoRedefine/>
    <w:qFormat/>
    <w:uiPriority w:val="99"/>
    <w:pPr>
      <w:spacing w:after="0" w:line="240" w:lineRule="auto"/>
    </w:pPr>
    <w:tblPr>
      <w:tbl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insideH w:val="single" w:color="B6DDE7" w:themeColor="accent5" w:themeTint="67" w:sz="4" w:space="0"/>
        <w:insideV w:val="single" w:color="B6DDE7" w:themeColor="accent5" w:themeTint="67" w:sz="4" w:space="0"/>
      </w:tblBorders>
    </w:tblPr>
    <w:tblStylePr w:type="firstRow">
      <w:rPr>
        <w:b/>
        <w:color w:val="404040"/>
      </w:rPr>
      <w:tcPr>
        <w:tcBorders>
          <w:bottom w:val="single" w:color="95CEDD" w:themeColor="accent5"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tcBorders>
      </w:tcPr>
    </w:tblStylePr>
  </w:style>
  <w:style w:type="table" w:customStyle="1" w:styleId="73">
    <w:name w:val="Grid Table 1 Light - Accent 6"/>
    <w:autoRedefine/>
    <w:qFormat/>
    <w:uiPriority w:val="99"/>
    <w:pPr>
      <w:spacing w:after="0" w:line="240" w:lineRule="auto"/>
    </w:pPr>
    <w:tblPr>
      <w:tbl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insideH w:val="single" w:color="FBD4B4" w:themeColor="accent6" w:themeTint="67" w:sz="4" w:space="0"/>
        <w:insideV w:val="single" w:color="FBD4B4" w:themeColor="accent6" w:themeTint="67" w:sz="4" w:space="0"/>
      </w:tblBorders>
    </w:tblPr>
    <w:tblStylePr w:type="firstRow">
      <w:rPr>
        <w:b/>
        <w:color w:val="404040"/>
      </w:rPr>
      <w:tcPr>
        <w:tcBorders>
          <w:bottom w:val="single" w:color="FAC192" w:themeColor="accent6"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tcBorders>
      </w:tcPr>
    </w:tblStylePr>
  </w:style>
  <w:style w:type="table" w:customStyle="1" w:styleId="74">
    <w:name w:val="Grid Table 2"/>
    <w:autoRedefine/>
    <w:qFormat/>
    <w:uiPriority w:val="99"/>
    <w:pPr>
      <w:spacing w:after="0" w:line="240" w:lineRule="auto"/>
    </w:pPr>
    <w:tblPr>
      <w:tblBorders>
        <w:bottom w:val="single" w:color="696969" w:themeColor="text1" w:themeTint="95" w:sz="4" w:space="0"/>
        <w:insideH w:val="single" w:color="696969" w:themeColor="text1" w:themeTint="95" w:sz="4" w:space="0"/>
        <w:insideV w:val="single" w:color="696969" w:themeColor="text1" w:themeTint="95" w:sz="4" w:space="0"/>
      </w:tblBorders>
    </w:tblPr>
    <w:tblStylePr w:type="firstRow">
      <w:rPr>
        <w:b/>
        <w:color w:val="404040"/>
      </w:rPr>
      <w:tcPr>
        <w:tcBorders>
          <w:top w:val="nil"/>
          <w:left w:val="nil"/>
          <w:bottom w:val="single" w:color="696969" w:themeColor="text1" w:themeTint="95" w:sz="12" w:space="0"/>
          <w:right w:val="nil"/>
        </w:tcBorders>
        <w:shd w:val="clear" w:color="FFFFFF" w:fill="auto"/>
      </w:tcPr>
    </w:tblStylePr>
    <w:tblStylePr w:type="lastRow">
      <w:rPr>
        <w:b/>
        <w:color w:val="404040"/>
      </w:rPr>
      <w:tcPr>
        <w:tcBorders>
          <w:top w:val="single" w:color="696969" w:themeColor="text1" w:themeTint="95"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ACACA" w:themeColor="text1" w:themeTint="34" w:fill="CACACA" w:themeFill="text1" w:themeFillTint="34"/>
      </w:tcPr>
    </w:tblStylePr>
    <w:tblStylePr w:type="band1Horz">
      <w:rPr>
        <w:rFonts w:ascii="Arial" w:hAnsi="Arial"/>
        <w:color w:val="404040"/>
        <w:sz w:val="22"/>
      </w:rPr>
      <w:tcPr>
        <w:shd w:val="clear" w:color="CACACA" w:themeColor="text1" w:themeTint="34" w:fill="CACACA" w:themeFill="text1" w:themeFillTint="34"/>
      </w:tcPr>
    </w:tblStylePr>
  </w:style>
  <w:style w:type="table" w:customStyle="1" w:styleId="75">
    <w:name w:val="Grid Table 2 - Accent 1"/>
    <w:autoRedefine/>
    <w:qFormat/>
    <w:uiPriority w:val="99"/>
    <w:pPr>
      <w:spacing w:after="0" w:line="240" w:lineRule="auto"/>
    </w:pPr>
    <w:tblPr>
      <w:tblBorders>
        <w:bottom w:val="single" w:color="5D8BC2" w:themeColor="accent1" w:themeTint="EA" w:sz="4" w:space="0"/>
        <w:insideH w:val="single" w:color="5D8BC2" w:themeColor="accent1" w:themeTint="EA" w:sz="4" w:space="0"/>
        <w:insideV w:val="single" w:color="5D8BC2" w:themeColor="accent1" w:themeTint="EA" w:sz="4" w:space="0"/>
      </w:tblBorders>
    </w:tblPr>
    <w:tblStylePr w:type="firstRow">
      <w:rPr>
        <w:b/>
        <w:color w:val="404040"/>
      </w:rPr>
      <w:tcPr>
        <w:tcBorders>
          <w:top w:val="nil"/>
          <w:left w:val="nil"/>
          <w:bottom w:val="single" w:color="5D8BC2" w:themeColor="accent1" w:themeTint="EA" w:sz="12" w:space="0"/>
          <w:right w:val="nil"/>
        </w:tcBorders>
        <w:shd w:val="clear" w:color="FFFFFF" w:fill="auto"/>
      </w:tcPr>
    </w:tblStylePr>
    <w:tblStylePr w:type="lastRow">
      <w:rPr>
        <w:b/>
        <w:color w:val="404040"/>
      </w:rPr>
      <w:tcPr>
        <w:tcBorders>
          <w:top w:val="single" w:color="5D8BC2" w:themeColor="accent1" w:themeTint="EA"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BE5F1" w:themeColor="accent1" w:themeTint="34" w:fill="DBE5F1" w:themeFill="accent1" w:themeFillTint="34"/>
      </w:tcPr>
    </w:tblStylePr>
    <w:tblStylePr w:type="band1Horz">
      <w:rPr>
        <w:rFonts w:ascii="Arial" w:hAnsi="Arial"/>
        <w:color w:val="404040"/>
        <w:sz w:val="22"/>
      </w:rPr>
      <w:tcPr>
        <w:shd w:val="clear" w:color="DBE5F1" w:themeColor="accent1" w:themeTint="34" w:fill="DBE5F1" w:themeFill="accent1" w:themeFillTint="34"/>
      </w:tcPr>
    </w:tblStylePr>
  </w:style>
  <w:style w:type="table" w:customStyle="1" w:styleId="76">
    <w:name w:val="Grid Table 2 - Accent 2"/>
    <w:autoRedefine/>
    <w:qFormat/>
    <w:uiPriority w:val="99"/>
    <w:pPr>
      <w:spacing w:after="0" w:line="240" w:lineRule="auto"/>
    </w:pPr>
    <w:tblPr>
      <w:tblBorders>
        <w:bottom w:val="single" w:color="D99795" w:themeColor="accent2" w:themeTint="97" w:sz="4" w:space="0"/>
        <w:insideH w:val="single" w:color="D99795" w:themeColor="accent2" w:themeTint="97" w:sz="4" w:space="0"/>
        <w:insideV w:val="single" w:color="D99795" w:themeColor="accent2" w:themeTint="97" w:sz="4" w:space="0"/>
      </w:tblBorders>
    </w:tblPr>
    <w:tblStylePr w:type="firstRow">
      <w:rPr>
        <w:b/>
        <w:color w:val="404040"/>
      </w:rPr>
      <w:tcPr>
        <w:tcBorders>
          <w:top w:val="nil"/>
          <w:left w:val="nil"/>
          <w:bottom w:val="single" w:color="D99795" w:themeColor="accent2" w:themeTint="97" w:sz="12" w:space="0"/>
          <w:right w:val="nil"/>
        </w:tcBorders>
        <w:shd w:val="clear" w:color="FFFFFF" w:fill="auto"/>
      </w:tcPr>
    </w:tblStylePr>
    <w:tblStylePr w:type="lastRow">
      <w:rPr>
        <w:b/>
        <w:color w:val="404040"/>
      </w:rPr>
      <w:tcPr>
        <w:tcBorders>
          <w:top w:val="single" w:color="D99795" w:themeColor="accent2" w:themeTint="97"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2DCDC" w:themeColor="accent2" w:themeTint="32" w:fill="F2DCDC" w:themeFill="accent2" w:themeFillTint="32"/>
      </w:tcPr>
    </w:tblStylePr>
    <w:tblStylePr w:type="band1Horz">
      <w:rPr>
        <w:rFonts w:ascii="Arial" w:hAnsi="Arial"/>
        <w:color w:val="404040"/>
        <w:sz w:val="22"/>
      </w:rPr>
      <w:tcPr>
        <w:shd w:val="clear" w:color="F2DCDC" w:themeColor="accent2" w:themeTint="32" w:fill="F2DCDC" w:themeFill="accent2" w:themeFillTint="32"/>
      </w:tcPr>
    </w:tblStylePr>
  </w:style>
  <w:style w:type="table" w:customStyle="1" w:styleId="77">
    <w:name w:val="Grid Table 2 - Accent 3"/>
    <w:autoRedefine/>
    <w:qFormat/>
    <w:uiPriority w:val="99"/>
    <w:pPr>
      <w:spacing w:after="0" w:line="240" w:lineRule="auto"/>
    </w:pPr>
    <w:tblPr>
      <w:tblBorders>
        <w:bottom w:val="single" w:color="9BBB59" w:themeColor="accent3" w:themeTint="FE" w:sz="4" w:space="0"/>
        <w:insideH w:val="single" w:color="9BBB59" w:themeColor="accent3" w:themeTint="FE" w:sz="4" w:space="0"/>
        <w:insideV w:val="single" w:color="9BBB59" w:themeColor="accent3" w:themeTint="FE" w:sz="4" w:space="0"/>
      </w:tblBorders>
    </w:tblPr>
    <w:tblStylePr w:type="firstRow">
      <w:rPr>
        <w:b/>
        <w:color w:val="404040"/>
      </w:rPr>
      <w:tcPr>
        <w:tcBorders>
          <w:top w:val="nil"/>
          <w:left w:val="nil"/>
          <w:bottom w:val="single" w:color="9BBB59" w:themeColor="accent3" w:themeTint="FE" w:sz="12" w:space="0"/>
          <w:right w:val="nil"/>
        </w:tcBorders>
        <w:shd w:val="clear" w:color="FFFFFF" w:fill="auto"/>
      </w:tcPr>
    </w:tblStylePr>
    <w:tblStylePr w:type="lastRow">
      <w:rPr>
        <w:b/>
        <w:color w:val="404040"/>
      </w:rPr>
      <w:tcPr>
        <w:tcBorders>
          <w:top w:val="single" w:color="9BBB59" w:themeColor="accent3" w:themeTint="FE"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AF1DD" w:themeColor="accent3" w:themeTint="34" w:fill="EAF1DD" w:themeFill="accent3" w:themeFillTint="34"/>
      </w:tcPr>
    </w:tblStylePr>
    <w:tblStylePr w:type="band1Horz">
      <w:rPr>
        <w:rFonts w:ascii="Arial" w:hAnsi="Arial"/>
        <w:color w:val="404040"/>
        <w:sz w:val="22"/>
      </w:rPr>
      <w:tcPr>
        <w:shd w:val="clear" w:color="EAF1DD" w:themeColor="accent3" w:themeTint="34" w:fill="EAF1DD" w:themeFill="accent3" w:themeFillTint="34"/>
      </w:tcPr>
    </w:tblStylePr>
  </w:style>
  <w:style w:type="table" w:customStyle="1" w:styleId="78">
    <w:name w:val="Grid Table 2 - Accent 4"/>
    <w:autoRedefine/>
    <w:qFormat/>
    <w:uiPriority w:val="99"/>
    <w:pPr>
      <w:spacing w:after="0" w:line="240" w:lineRule="auto"/>
    </w:pPr>
    <w:tblPr>
      <w:tblBorders>
        <w:bottom w:val="single" w:color="B2A1C6" w:themeColor="accent4" w:themeTint="9A" w:sz="4" w:space="0"/>
        <w:insideH w:val="single" w:color="B2A1C6" w:themeColor="accent4" w:themeTint="9A" w:sz="4" w:space="0"/>
        <w:insideV w:val="single" w:color="B2A1C6" w:themeColor="accent4" w:themeTint="9A" w:sz="4" w:space="0"/>
      </w:tblBorders>
    </w:tblPr>
    <w:tblStylePr w:type="firstRow">
      <w:rPr>
        <w:b/>
        <w:color w:val="404040"/>
      </w:rPr>
      <w:tcPr>
        <w:tcBorders>
          <w:top w:val="nil"/>
          <w:left w:val="nil"/>
          <w:bottom w:val="single" w:color="B2A1C6" w:themeColor="accent4" w:themeTint="9A" w:sz="12" w:space="0"/>
          <w:right w:val="nil"/>
        </w:tcBorders>
        <w:shd w:val="clear" w:color="FFFFFF" w:fill="auto"/>
      </w:tcPr>
    </w:tblStylePr>
    <w:tblStylePr w:type="lastRow">
      <w:rPr>
        <w:b/>
        <w:color w:val="404040"/>
      </w:rPr>
      <w:tcPr>
        <w:tcBorders>
          <w:top w:val="single" w:color="B2A1C6" w:themeColor="accent4" w:themeTint="9A"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5DFEC" w:themeColor="accent4" w:themeTint="34" w:fill="E5DFEC" w:themeFill="accent4" w:themeFillTint="34"/>
      </w:tcPr>
    </w:tblStylePr>
    <w:tblStylePr w:type="band1Horz">
      <w:rPr>
        <w:rFonts w:ascii="Arial" w:hAnsi="Arial"/>
        <w:color w:val="404040"/>
        <w:sz w:val="22"/>
      </w:rPr>
      <w:tcPr>
        <w:shd w:val="clear" w:color="E5DFEC" w:themeColor="accent4" w:themeTint="34" w:fill="E5DFEC" w:themeFill="accent4" w:themeFillTint="34"/>
      </w:tcPr>
    </w:tblStylePr>
  </w:style>
  <w:style w:type="table" w:customStyle="1" w:styleId="79">
    <w:name w:val="Grid Table 2 - Accent 5"/>
    <w:autoRedefine/>
    <w:qFormat/>
    <w:uiPriority w:val="99"/>
    <w:pPr>
      <w:spacing w:after="0" w:line="240" w:lineRule="auto"/>
    </w:pPr>
    <w:tblPr>
      <w:tblBorders>
        <w:bottom w:val="single" w:color="4BACC6" w:themeColor="accent5" w:sz="4" w:space="0"/>
        <w:insideH w:val="single" w:color="4BACC6" w:themeColor="accent5" w:sz="4" w:space="0"/>
        <w:insideV w:val="single" w:color="4BACC6" w:themeColor="accent5" w:sz="4" w:space="0"/>
      </w:tblBorders>
    </w:tblPr>
    <w:tblStylePr w:type="firstRow">
      <w:rPr>
        <w:b/>
        <w:color w:val="404040"/>
      </w:rPr>
      <w:tcPr>
        <w:tcBorders>
          <w:top w:val="nil"/>
          <w:left w:val="nil"/>
          <w:bottom w:val="single" w:color="4BACC6" w:themeColor="accent5" w:sz="12" w:space="0"/>
          <w:right w:val="nil"/>
        </w:tcBorders>
        <w:shd w:val="clear" w:color="FFFFFF" w:fill="auto"/>
      </w:tcPr>
    </w:tblStylePr>
    <w:tblStylePr w:type="lastRow">
      <w:rPr>
        <w:b/>
        <w:color w:val="404040"/>
      </w:rPr>
      <w:tcPr>
        <w:tcBorders>
          <w:top w:val="single" w:color="4BACC6" w:themeColor="accent5"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AEEF3" w:themeColor="accent5" w:themeTint="34" w:fill="DAEEF3" w:themeFill="accent5" w:themeFillTint="34"/>
      </w:tcPr>
    </w:tblStylePr>
    <w:tblStylePr w:type="band1Horz">
      <w:rPr>
        <w:rFonts w:ascii="Arial" w:hAnsi="Arial"/>
        <w:color w:val="404040"/>
        <w:sz w:val="22"/>
      </w:rPr>
      <w:tcPr>
        <w:shd w:val="clear" w:color="DAEEF3" w:themeColor="accent5" w:themeTint="34" w:fill="DAEEF3" w:themeFill="accent5" w:themeFillTint="34"/>
      </w:tcPr>
    </w:tblStylePr>
  </w:style>
  <w:style w:type="table" w:customStyle="1" w:styleId="80">
    <w:name w:val="Grid Table 2 - Accent 6"/>
    <w:autoRedefine/>
    <w:qFormat/>
    <w:uiPriority w:val="99"/>
    <w:pPr>
      <w:spacing w:after="0" w:line="240" w:lineRule="auto"/>
    </w:pPr>
    <w:tblPr>
      <w:tblBorders>
        <w:bottom w:val="single" w:color="F79646" w:themeColor="accent6" w:sz="4" w:space="0"/>
        <w:insideH w:val="single" w:color="F79646" w:themeColor="accent6" w:sz="4" w:space="0"/>
        <w:insideV w:val="single" w:color="F79646" w:themeColor="accent6" w:sz="4" w:space="0"/>
      </w:tblBorders>
    </w:tblPr>
    <w:tblStylePr w:type="firstRow">
      <w:rPr>
        <w:b/>
        <w:color w:val="404040"/>
      </w:rPr>
      <w:tcPr>
        <w:tcBorders>
          <w:top w:val="nil"/>
          <w:left w:val="nil"/>
          <w:bottom w:val="single" w:color="F79646" w:themeColor="accent6" w:sz="12" w:space="0"/>
          <w:right w:val="nil"/>
        </w:tcBorders>
        <w:shd w:val="clear" w:color="FFFFFF" w:fill="auto"/>
      </w:tcPr>
    </w:tblStylePr>
    <w:tblStylePr w:type="lastRow">
      <w:rPr>
        <w:b/>
        <w:color w:val="404040"/>
      </w:rPr>
      <w:tcPr>
        <w:tcBorders>
          <w:top w:val="single" w:color="F79646" w:themeColor="accent6"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DE9D9" w:themeColor="accent6" w:themeTint="34" w:fill="FDE9D9" w:themeFill="accent6" w:themeFillTint="34"/>
      </w:tcPr>
    </w:tblStylePr>
    <w:tblStylePr w:type="band1Horz">
      <w:rPr>
        <w:rFonts w:ascii="Arial" w:hAnsi="Arial"/>
        <w:color w:val="404040"/>
        <w:sz w:val="22"/>
      </w:rPr>
      <w:tcPr>
        <w:shd w:val="clear" w:color="FDE9D9" w:themeColor="accent6" w:themeTint="34" w:fill="FDE9D9" w:themeFill="accent6" w:themeFillTint="34"/>
      </w:tcPr>
    </w:tblStylePr>
  </w:style>
  <w:style w:type="table" w:customStyle="1" w:styleId="81">
    <w:name w:val="Grid Table 3"/>
    <w:autoRedefine/>
    <w:qFormat/>
    <w:uiPriority w:val="99"/>
    <w:pPr>
      <w:spacing w:after="0" w:line="240" w:lineRule="auto"/>
    </w:pPr>
    <w:tblPr>
      <w:tblBorders>
        <w:bottom w:val="single" w:color="696969" w:themeColor="text1" w:themeTint="95" w:sz="4" w:space="0"/>
        <w:insideH w:val="single" w:color="696969" w:themeColor="text1" w:themeTint="95" w:sz="4" w:space="0"/>
        <w:insideV w:val="single" w:color="696969" w:themeColor="text1" w:themeTint="95"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CACACA" w:themeColor="text1" w:themeTint="34" w:fill="CACACA" w:themeFill="text1" w:themeFillTint="34"/>
      </w:tcPr>
    </w:tblStylePr>
    <w:tblStylePr w:type="band1Horz">
      <w:rPr>
        <w:rFonts w:ascii="Arial" w:hAnsi="Arial"/>
        <w:color w:val="404040"/>
        <w:sz w:val="22"/>
      </w:rPr>
      <w:tcPr>
        <w:shd w:val="clear" w:color="CACACA" w:themeColor="text1" w:themeTint="34" w:fill="CACACA" w:themeFill="text1" w:themeFillTint="34"/>
      </w:tcPr>
    </w:tblStylePr>
  </w:style>
  <w:style w:type="table" w:customStyle="1" w:styleId="82">
    <w:name w:val="Grid Table 3 - Accent 1"/>
    <w:autoRedefine/>
    <w:qFormat/>
    <w:uiPriority w:val="99"/>
    <w:pPr>
      <w:spacing w:after="0" w:line="240" w:lineRule="auto"/>
    </w:pPr>
    <w:tblPr>
      <w:tblBorders>
        <w:bottom w:val="single" w:color="5D8BC2" w:themeColor="accent1" w:themeTint="EA" w:sz="4" w:space="0"/>
        <w:insideH w:val="single" w:color="5D8BC2" w:themeColor="accent1" w:themeTint="EA" w:sz="4" w:space="0"/>
        <w:insideV w:val="single" w:color="5D8BC2" w:themeColor="accent1" w:themeTint="EA"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DBE5F1" w:themeColor="accent1" w:themeTint="34" w:fill="DBE5F1" w:themeFill="accent1" w:themeFillTint="34"/>
      </w:tcPr>
    </w:tblStylePr>
    <w:tblStylePr w:type="band1Horz">
      <w:rPr>
        <w:rFonts w:ascii="Arial" w:hAnsi="Arial"/>
        <w:color w:val="404040"/>
        <w:sz w:val="22"/>
      </w:rPr>
      <w:tcPr>
        <w:shd w:val="clear" w:color="DBE5F1" w:themeColor="accent1" w:themeTint="34" w:fill="DBE5F1" w:themeFill="accent1" w:themeFillTint="34"/>
      </w:tcPr>
    </w:tblStylePr>
  </w:style>
  <w:style w:type="table" w:customStyle="1" w:styleId="83">
    <w:name w:val="Grid Table 3 - Accent 2"/>
    <w:autoRedefine/>
    <w:qFormat/>
    <w:uiPriority w:val="99"/>
    <w:pPr>
      <w:spacing w:after="0" w:line="240" w:lineRule="auto"/>
    </w:pPr>
    <w:tblPr>
      <w:tblBorders>
        <w:bottom w:val="single" w:color="D99795" w:themeColor="accent2" w:themeTint="97" w:sz="4" w:space="0"/>
        <w:insideH w:val="single" w:color="D99795" w:themeColor="accent2" w:themeTint="97" w:sz="4" w:space="0"/>
        <w:insideV w:val="single" w:color="D99795" w:themeColor="accent2" w:themeTint="97"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F2DCDC" w:themeColor="accent2" w:themeTint="32" w:fill="F2DCDC" w:themeFill="accent2" w:themeFillTint="32"/>
      </w:tcPr>
    </w:tblStylePr>
    <w:tblStylePr w:type="band1Horz">
      <w:rPr>
        <w:rFonts w:ascii="Arial" w:hAnsi="Arial"/>
        <w:color w:val="404040"/>
        <w:sz w:val="22"/>
      </w:rPr>
      <w:tcPr>
        <w:shd w:val="clear" w:color="F2DCDC" w:themeColor="accent2" w:themeTint="32" w:fill="F2DCDC" w:themeFill="accent2" w:themeFillTint="32"/>
      </w:tcPr>
    </w:tblStylePr>
  </w:style>
  <w:style w:type="table" w:customStyle="1" w:styleId="84">
    <w:name w:val="Grid Table 3 - Accent 3"/>
    <w:autoRedefine/>
    <w:qFormat/>
    <w:uiPriority w:val="99"/>
    <w:pPr>
      <w:spacing w:after="0" w:line="240" w:lineRule="auto"/>
    </w:pPr>
    <w:tblPr>
      <w:tblBorders>
        <w:bottom w:val="single" w:color="9BBB59" w:themeColor="accent3" w:themeTint="FE" w:sz="4" w:space="0"/>
        <w:insideH w:val="single" w:color="9BBB59" w:themeColor="accent3" w:themeTint="FE" w:sz="4" w:space="0"/>
        <w:insideV w:val="single" w:color="9BBB59" w:themeColor="accent3" w:themeTint="FE"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EAF1DD" w:themeColor="accent3" w:themeTint="34" w:fill="EAF1DD" w:themeFill="accent3" w:themeFillTint="34"/>
      </w:tcPr>
    </w:tblStylePr>
    <w:tblStylePr w:type="band1Horz">
      <w:rPr>
        <w:rFonts w:ascii="Arial" w:hAnsi="Arial"/>
        <w:color w:val="404040"/>
        <w:sz w:val="22"/>
      </w:rPr>
      <w:tcPr>
        <w:shd w:val="clear" w:color="EAF1DD" w:themeColor="accent3" w:themeTint="34" w:fill="EAF1DD" w:themeFill="accent3" w:themeFillTint="34"/>
      </w:tcPr>
    </w:tblStylePr>
  </w:style>
  <w:style w:type="table" w:customStyle="1" w:styleId="85">
    <w:name w:val="Grid Table 3 - Accent 4"/>
    <w:autoRedefine/>
    <w:qFormat/>
    <w:uiPriority w:val="99"/>
    <w:pPr>
      <w:spacing w:after="0" w:line="240" w:lineRule="auto"/>
    </w:pPr>
    <w:tblPr>
      <w:tblBorders>
        <w:bottom w:val="single" w:color="B2A1C6" w:themeColor="accent4" w:themeTint="9A" w:sz="4" w:space="0"/>
        <w:insideH w:val="single" w:color="B2A1C6" w:themeColor="accent4" w:themeTint="9A" w:sz="4" w:space="0"/>
        <w:insideV w:val="single" w:color="B2A1C6" w:themeColor="accent4" w:themeTint="9A"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E5DFEC" w:themeColor="accent4" w:themeTint="34" w:fill="E5DFEC" w:themeFill="accent4" w:themeFillTint="34"/>
      </w:tcPr>
    </w:tblStylePr>
    <w:tblStylePr w:type="band1Horz">
      <w:rPr>
        <w:rFonts w:ascii="Arial" w:hAnsi="Arial"/>
        <w:color w:val="404040"/>
        <w:sz w:val="22"/>
      </w:rPr>
      <w:tcPr>
        <w:shd w:val="clear" w:color="E5DFEC" w:themeColor="accent4" w:themeTint="34" w:fill="E5DFEC" w:themeFill="accent4" w:themeFillTint="34"/>
      </w:tcPr>
    </w:tblStylePr>
  </w:style>
  <w:style w:type="table" w:customStyle="1" w:styleId="86">
    <w:name w:val="Grid Table 3 - Accent 5"/>
    <w:autoRedefine/>
    <w:qFormat/>
    <w:uiPriority w:val="99"/>
    <w:pPr>
      <w:spacing w:after="0" w:line="240" w:lineRule="auto"/>
    </w:pPr>
    <w:tblPr>
      <w:tblBorders>
        <w:bottom w:val="single" w:color="4BACC6" w:themeColor="accent5" w:sz="4" w:space="0"/>
        <w:insideH w:val="single" w:color="4BACC6" w:themeColor="accent5" w:sz="4" w:space="0"/>
        <w:insideV w:val="single" w:color="4BACC6" w:themeColor="accent5"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DAEEF3" w:themeColor="accent5" w:themeTint="34" w:fill="DAEEF3" w:themeFill="accent5" w:themeFillTint="34"/>
      </w:tcPr>
    </w:tblStylePr>
    <w:tblStylePr w:type="band1Horz">
      <w:rPr>
        <w:rFonts w:ascii="Arial" w:hAnsi="Arial"/>
        <w:color w:val="404040"/>
        <w:sz w:val="22"/>
      </w:rPr>
      <w:tcPr>
        <w:shd w:val="clear" w:color="DAEEF3" w:themeColor="accent5" w:themeTint="34" w:fill="DAEEF3" w:themeFill="accent5" w:themeFillTint="34"/>
      </w:tcPr>
    </w:tblStylePr>
  </w:style>
  <w:style w:type="table" w:customStyle="1" w:styleId="87">
    <w:name w:val="Grid Table 3 - Accent 6"/>
    <w:autoRedefine/>
    <w:qFormat/>
    <w:uiPriority w:val="99"/>
    <w:pPr>
      <w:spacing w:after="0" w:line="240" w:lineRule="auto"/>
    </w:pPr>
    <w:tblPr>
      <w:tblBorders>
        <w:bottom w:val="single" w:color="F79646" w:themeColor="accent6" w:sz="4" w:space="0"/>
        <w:insideH w:val="single" w:color="F79646" w:themeColor="accent6" w:sz="4" w:space="0"/>
        <w:insideV w:val="single" w:color="F79646" w:themeColor="accent6"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FDE9D9" w:themeColor="accent6" w:themeTint="34" w:fill="FDE9D9" w:themeFill="accent6" w:themeFillTint="34"/>
      </w:tcPr>
    </w:tblStylePr>
    <w:tblStylePr w:type="band1Horz">
      <w:rPr>
        <w:rFonts w:ascii="Arial" w:hAnsi="Arial"/>
        <w:color w:val="404040"/>
        <w:sz w:val="22"/>
      </w:rPr>
      <w:tcPr>
        <w:shd w:val="clear" w:color="FDE9D9" w:themeColor="accent6" w:themeTint="34" w:fill="FDE9D9" w:themeFill="accent6" w:themeFillTint="34"/>
      </w:tcPr>
    </w:tblStylePr>
  </w:style>
  <w:style w:type="table" w:customStyle="1" w:styleId="88">
    <w:name w:val="Grid Table 4"/>
    <w:autoRedefine/>
    <w:qFormat/>
    <w:uiPriority w:val="59"/>
    <w:pPr>
      <w:spacing w:after="0" w:line="240" w:lineRule="auto"/>
    </w:pPr>
    <w:tblPr>
      <w:tblBorders>
        <w:top w:val="single" w:color="6E6E6E" w:themeColor="text1" w:themeTint="90" w:sz="4" w:space="0"/>
        <w:left w:val="single" w:color="6E6E6E" w:themeColor="text1" w:themeTint="90" w:sz="4" w:space="0"/>
        <w:bottom w:val="single" w:color="6E6E6E" w:themeColor="text1" w:themeTint="90" w:sz="4" w:space="0"/>
        <w:right w:val="single" w:color="6E6E6E" w:themeColor="text1" w:themeTint="90" w:sz="4" w:space="0"/>
        <w:insideH w:val="single" w:color="6E6E6E" w:themeColor="text1" w:themeTint="90" w:sz="4" w:space="0"/>
        <w:insideV w:val="single" w:color="6E6E6E" w:themeColor="text1" w:themeTint="90" w:sz="4" w:space="0"/>
      </w:tblBorders>
    </w:tblPr>
    <w:tblStylePr w:type="firstRow">
      <w:rPr>
        <w:rFonts w:ascii="Arial" w:hAnsi="Arial"/>
        <w:b/>
        <w:color w:val="FFFFFF"/>
        <w:sz w:val="22"/>
      </w:rPr>
      <w:tcPr>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000000" w:themeColor="text1" w:fill="000000" w:themeFill="text1"/>
      </w:tcPr>
    </w:tblStylePr>
    <w:tblStylePr w:type="lastRow">
      <w:rPr>
        <w:b/>
        <w:color w:val="404040"/>
      </w:rPr>
      <w:tcPr>
        <w:tcBorders>
          <w:top w:val="single" w:color="000000" w:themeColor="text1"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ACACA" w:themeColor="text1" w:themeTint="34" w:fill="CACACA" w:themeFill="text1" w:themeFillTint="34"/>
      </w:tcPr>
    </w:tblStylePr>
    <w:tblStylePr w:type="band1Horz">
      <w:rPr>
        <w:rFonts w:ascii="Arial" w:hAnsi="Arial"/>
        <w:color w:val="404040"/>
        <w:sz w:val="22"/>
      </w:rPr>
      <w:tcPr>
        <w:shd w:val="clear" w:color="CACACA" w:themeColor="text1" w:themeTint="34" w:fill="CACACA" w:themeFill="text1" w:themeFillTint="34"/>
      </w:tcPr>
    </w:tblStylePr>
  </w:style>
  <w:style w:type="table" w:customStyle="1" w:styleId="89">
    <w:name w:val="Grid Table 4 - Accent 1"/>
    <w:autoRedefine/>
    <w:qFormat/>
    <w:uiPriority w:val="59"/>
    <w:pPr>
      <w:spacing w:after="0" w:line="240" w:lineRule="auto"/>
    </w:pPr>
    <w:tblPr>
      <w:tblBorders>
        <w:top w:val="single" w:color="9BB7D9" w:themeColor="accent1" w:themeTint="90" w:sz="4" w:space="0"/>
        <w:left w:val="single" w:color="9BB7D9" w:themeColor="accent1" w:themeTint="90" w:sz="4" w:space="0"/>
        <w:bottom w:val="single" w:color="9BB7D9" w:themeColor="accent1" w:themeTint="90" w:sz="4" w:space="0"/>
        <w:right w:val="single" w:color="9BB7D9" w:themeColor="accent1" w:themeTint="90" w:sz="4" w:space="0"/>
        <w:insideH w:val="single" w:color="9BB7D9" w:themeColor="accent1" w:themeTint="90" w:sz="4" w:space="0"/>
        <w:insideV w:val="single" w:color="9BB7D9" w:themeColor="accent1" w:themeTint="90" w:sz="4" w:space="0"/>
      </w:tblBorders>
    </w:tblPr>
    <w:tblStylePr w:type="firstRow">
      <w:rPr>
        <w:rFonts w:ascii="Arial" w:hAnsi="Arial"/>
        <w:b/>
        <w:color w:val="FFFFFF"/>
        <w:sz w:val="22"/>
      </w:rPr>
      <w:tcPr>
        <w:tcBorders>
          <w:top w:val="single" w:color="5D8BC2" w:themeColor="accent1" w:themeTint="EA" w:sz="4" w:space="0"/>
          <w:left w:val="single" w:color="5D8BC2" w:themeColor="accent1" w:themeTint="EA" w:sz="4" w:space="0"/>
          <w:bottom w:val="single" w:color="5D8BC2" w:themeColor="accent1" w:themeTint="EA" w:sz="4" w:space="0"/>
          <w:right w:val="single" w:color="5D8BC2" w:themeColor="accent1" w:themeTint="EA" w:sz="4" w:space="0"/>
        </w:tcBorders>
        <w:shd w:val="clear" w:color="5D8BC2" w:themeColor="accent1" w:themeTint="EA" w:fill="5D8BC2" w:themeFill="accent1" w:themeFillTint="EA"/>
      </w:tcPr>
    </w:tblStylePr>
    <w:tblStylePr w:type="lastRow">
      <w:rPr>
        <w:b/>
        <w:color w:val="404040"/>
      </w:rPr>
      <w:tcPr>
        <w:tcBorders>
          <w:top w:val="single" w:color="5D8BC2" w:themeColor="accent1" w:themeTint="EA"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CE6F2" w:themeColor="accent1" w:themeTint="32" w:fill="DCE6F2" w:themeFill="accent1" w:themeFillTint="32"/>
      </w:tcPr>
    </w:tblStylePr>
    <w:tblStylePr w:type="band1Horz">
      <w:rPr>
        <w:rFonts w:ascii="Arial" w:hAnsi="Arial"/>
        <w:color w:val="404040"/>
        <w:sz w:val="22"/>
      </w:rPr>
      <w:tcPr>
        <w:shd w:val="clear" w:color="DCE6F2" w:themeColor="accent1" w:themeTint="32" w:fill="DCE6F2" w:themeFill="accent1" w:themeFillTint="32"/>
      </w:tcPr>
    </w:tblStylePr>
  </w:style>
  <w:style w:type="table" w:customStyle="1" w:styleId="90">
    <w:name w:val="Grid Table 4 - Accent 2"/>
    <w:autoRedefine/>
    <w:qFormat/>
    <w:uiPriority w:val="59"/>
    <w:pPr>
      <w:spacing w:after="0" w:line="240" w:lineRule="auto"/>
    </w:pPr>
    <w:tblPr>
      <w:tblBorders>
        <w:top w:val="single" w:color="DB9C9A" w:themeColor="accent2" w:themeTint="90" w:sz="4" w:space="0"/>
        <w:left w:val="single" w:color="DB9C9A" w:themeColor="accent2" w:themeTint="90" w:sz="4" w:space="0"/>
        <w:bottom w:val="single" w:color="DB9C9A" w:themeColor="accent2" w:themeTint="90" w:sz="4" w:space="0"/>
        <w:right w:val="single" w:color="DB9C9A" w:themeColor="accent2" w:themeTint="90" w:sz="4" w:space="0"/>
        <w:insideH w:val="single" w:color="DB9C9A" w:themeColor="accent2" w:themeTint="90" w:sz="4" w:space="0"/>
        <w:insideV w:val="single" w:color="DB9C9A" w:themeColor="accent2" w:themeTint="90" w:sz="4" w:space="0"/>
      </w:tblBorders>
    </w:tblPr>
    <w:tblStylePr w:type="firstRow">
      <w:rPr>
        <w:rFonts w:ascii="Arial" w:hAnsi="Arial"/>
        <w:b/>
        <w:color w:val="FFFFFF"/>
        <w:sz w:val="22"/>
      </w:rPr>
      <w:tcPr>
        <w:tcBorders>
          <w:top w:val="single" w:color="D99795" w:themeColor="accent2" w:themeTint="97" w:sz="4" w:space="0"/>
          <w:left w:val="single" w:color="D99795" w:themeColor="accent2" w:themeTint="97" w:sz="4" w:space="0"/>
          <w:bottom w:val="single" w:color="D99795" w:themeColor="accent2" w:themeTint="97" w:sz="4" w:space="0"/>
          <w:right w:val="single" w:color="D99795" w:themeColor="accent2" w:themeTint="97" w:sz="4" w:space="0"/>
        </w:tcBorders>
        <w:shd w:val="clear" w:color="D99795" w:themeColor="accent2" w:themeTint="97" w:fill="D99795" w:themeFill="accent2" w:themeFillTint="97"/>
      </w:tcPr>
    </w:tblStylePr>
    <w:tblStylePr w:type="lastRow">
      <w:rPr>
        <w:b/>
        <w:color w:val="404040"/>
      </w:rPr>
      <w:tcPr>
        <w:tcBorders>
          <w:top w:val="single" w:color="D99795" w:themeColor="accent2" w:themeTint="97"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2DCDC" w:themeColor="accent2" w:themeTint="32" w:fill="F2DCDC" w:themeFill="accent2" w:themeFillTint="32"/>
      </w:tcPr>
    </w:tblStylePr>
    <w:tblStylePr w:type="band1Horz">
      <w:rPr>
        <w:rFonts w:ascii="Arial" w:hAnsi="Arial"/>
        <w:color w:val="404040"/>
        <w:sz w:val="22"/>
      </w:rPr>
      <w:tcPr>
        <w:shd w:val="clear" w:color="F2DCDC" w:themeColor="accent2" w:themeTint="32" w:fill="F2DCDC" w:themeFill="accent2" w:themeFillTint="32"/>
      </w:tcPr>
    </w:tblStylePr>
  </w:style>
  <w:style w:type="table" w:customStyle="1" w:styleId="91">
    <w:name w:val="Grid Table 4 - Accent 3"/>
    <w:autoRedefine/>
    <w:qFormat/>
    <w:uiPriority w:val="59"/>
    <w:pPr>
      <w:spacing w:after="0" w:line="240" w:lineRule="auto"/>
    </w:pPr>
    <w:tblPr>
      <w:tblBorders>
        <w:top w:val="single" w:color="C6D8A1" w:themeColor="accent3" w:themeTint="90" w:sz="4" w:space="0"/>
        <w:left w:val="single" w:color="C6D8A1" w:themeColor="accent3" w:themeTint="90" w:sz="4" w:space="0"/>
        <w:bottom w:val="single" w:color="C6D8A1" w:themeColor="accent3" w:themeTint="90" w:sz="4" w:space="0"/>
        <w:right w:val="single" w:color="C6D8A1" w:themeColor="accent3" w:themeTint="90" w:sz="4" w:space="0"/>
        <w:insideH w:val="single" w:color="C6D8A1" w:themeColor="accent3" w:themeTint="90" w:sz="4" w:space="0"/>
        <w:insideV w:val="single" w:color="C6D8A1" w:themeColor="accent3" w:themeTint="90" w:sz="4" w:space="0"/>
      </w:tblBorders>
    </w:tblPr>
    <w:tblStylePr w:type="firstRow">
      <w:rPr>
        <w:rFonts w:ascii="Arial" w:hAnsi="Arial"/>
        <w:b/>
        <w:color w:val="FFFFFF"/>
        <w:sz w:val="22"/>
      </w:rPr>
      <w:tcPr>
        <w:tcBorders>
          <w:top w:val="single" w:color="9BBB59" w:themeColor="accent3" w:themeTint="FE" w:sz="4" w:space="0"/>
          <w:left w:val="single" w:color="9BBB59" w:themeColor="accent3" w:themeTint="FE" w:sz="4" w:space="0"/>
          <w:bottom w:val="single" w:color="9BBB59" w:themeColor="accent3" w:themeTint="FE" w:sz="4" w:space="0"/>
          <w:right w:val="single" w:color="9BBB59" w:themeColor="accent3" w:themeTint="FE" w:sz="4" w:space="0"/>
        </w:tcBorders>
        <w:shd w:val="clear" w:color="9BBB59" w:themeColor="accent3" w:themeTint="FE" w:fill="9BBB59" w:themeFill="accent3" w:themeFillTint="FE"/>
      </w:tcPr>
    </w:tblStylePr>
    <w:tblStylePr w:type="lastRow">
      <w:rPr>
        <w:b/>
        <w:color w:val="404040"/>
      </w:rPr>
      <w:tcPr>
        <w:tcBorders>
          <w:top w:val="single" w:color="9BBB59" w:themeColor="accent3" w:themeTint="FE"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AF1DD" w:themeColor="accent3" w:themeTint="34" w:fill="EAF1DD" w:themeFill="accent3" w:themeFillTint="34"/>
      </w:tcPr>
    </w:tblStylePr>
    <w:tblStylePr w:type="band1Horz">
      <w:rPr>
        <w:rFonts w:ascii="Arial" w:hAnsi="Arial"/>
        <w:color w:val="404040"/>
        <w:sz w:val="22"/>
      </w:rPr>
      <w:tcPr>
        <w:shd w:val="clear" w:color="EAF1DD" w:themeColor="accent3" w:themeTint="34" w:fill="EAF1DD" w:themeFill="accent3" w:themeFillTint="34"/>
      </w:tcPr>
    </w:tblStylePr>
  </w:style>
  <w:style w:type="table" w:customStyle="1" w:styleId="92">
    <w:name w:val="Grid Table 4 - Accent 4"/>
    <w:autoRedefine/>
    <w:qFormat/>
    <w:uiPriority w:val="59"/>
    <w:pPr>
      <w:spacing w:after="0" w:line="240" w:lineRule="auto"/>
    </w:pPr>
    <w:tblPr>
      <w:tblBorders>
        <w:top w:val="single" w:color="B7A7CA" w:themeColor="accent4" w:themeTint="90" w:sz="4" w:space="0"/>
        <w:left w:val="single" w:color="B7A7CA" w:themeColor="accent4" w:themeTint="90" w:sz="4" w:space="0"/>
        <w:bottom w:val="single" w:color="B7A7CA" w:themeColor="accent4" w:themeTint="90" w:sz="4" w:space="0"/>
        <w:right w:val="single" w:color="B7A7CA" w:themeColor="accent4" w:themeTint="90" w:sz="4" w:space="0"/>
        <w:insideH w:val="single" w:color="B7A7CA" w:themeColor="accent4" w:themeTint="90" w:sz="4" w:space="0"/>
        <w:insideV w:val="single" w:color="B7A7CA" w:themeColor="accent4" w:themeTint="90" w:sz="4" w:space="0"/>
      </w:tblBorders>
    </w:tblPr>
    <w:tblStylePr w:type="firstRow">
      <w:rPr>
        <w:rFonts w:ascii="Arial" w:hAnsi="Arial"/>
        <w:b/>
        <w:color w:val="FFFFFF"/>
        <w:sz w:val="22"/>
      </w:rPr>
      <w:tcPr>
        <w:tc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tcBorders>
        <w:shd w:val="clear" w:color="B2A1C6" w:themeColor="accent4" w:themeTint="9A" w:fill="B2A1C6" w:themeFill="accent4" w:themeFillTint="9A"/>
      </w:tcPr>
    </w:tblStylePr>
    <w:tblStylePr w:type="lastRow">
      <w:rPr>
        <w:b/>
        <w:color w:val="404040"/>
      </w:rPr>
      <w:tcPr>
        <w:tcBorders>
          <w:top w:val="single" w:color="B2A1C6" w:themeColor="accent4" w:themeTint="9A"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5DFEC" w:themeColor="accent4" w:themeTint="34" w:fill="E5DFEC" w:themeFill="accent4" w:themeFillTint="34"/>
      </w:tcPr>
    </w:tblStylePr>
    <w:tblStylePr w:type="band1Horz">
      <w:rPr>
        <w:rFonts w:ascii="Arial" w:hAnsi="Arial"/>
        <w:color w:val="404040"/>
        <w:sz w:val="22"/>
      </w:rPr>
      <w:tcPr>
        <w:shd w:val="clear" w:color="E5DFEC" w:themeColor="accent4" w:themeTint="34" w:fill="E5DFEC" w:themeFill="accent4" w:themeFillTint="34"/>
      </w:tcPr>
    </w:tblStylePr>
  </w:style>
  <w:style w:type="table" w:customStyle="1" w:styleId="93">
    <w:name w:val="Grid Table 4 - Accent 5"/>
    <w:autoRedefine/>
    <w:qFormat/>
    <w:uiPriority w:val="59"/>
    <w:pPr>
      <w:spacing w:after="0" w:line="240" w:lineRule="auto"/>
    </w:pPr>
    <w:tblPr>
      <w:tblBorders>
        <w:top w:val="single" w:color="99D0DE" w:themeColor="accent5" w:themeTint="90" w:sz="4" w:space="0"/>
        <w:left w:val="single" w:color="99D0DE" w:themeColor="accent5" w:themeTint="90" w:sz="4" w:space="0"/>
        <w:bottom w:val="single" w:color="99D0DE" w:themeColor="accent5" w:themeTint="90" w:sz="4" w:space="0"/>
        <w:right w:val="single" w:color="99D0DE" w:themeColor="accent5" w:themeTint="90" w:sz="4" w:space="0"/>
        <w:insideH w:val="single" w:color="99D0DE" w:themeColor="accent5" w:themeTint="90" w:sz="4" w:space="0"/>
        <w:insideV w:val="single" w:color="99D0DE" w:themeColor="accent5" w:themeTint="90" w:sz="4" w:space="0"/>
      </w:tblBorders>
    </w:tblPr>
    <w:tblStylePr w:type="firstRow">
      <w:rPr>
        <w:rFonts w:ascii="Arial" w:hAnsi="Arial"/>
        <w:b/>
        <w:color w:val="FFFFFF"/>
        <w:sz w:val="22"/>
      </w:rPr>
      <w:tcPr>
        <w:tcBorders>
          <w:top w:val="single" w:color="4BACC6" w:themeColor="accent5" w:sz="4" w:space="0"/>
          <w:left w:val="single" w:color="4BACC6" w:themeColor="accent5" w:sz="4" w:space="0"/>
          <w:bottom w:val="single" w:color="4BACC6" w:themeColor="accent5" w:sz="4" w:space="0"/>
          <w:right w:val="single" w:color="4BACC6" w:themeColor="accent5" w:sz="4" w:space="0"/>
        </w:tcBorders>
        <w:shd w:val="clear" w:color="4BACC6" w:themeColor="accent5" w:fill="4BACC6" w:themeFill="accent5"/>
      </w:tcPr>
    </w:tblStylePr>
    <w:tblStylePr w:type="lastRow">
      <w:rPr>
        <w:b/>
        <w:color w:val="404040"/>
      </w:rPr>
      <w:tcPr>
        <w:tcBorders>
          <w:top w:val="single" w:color="4BACC6" w:themeColor="accent5"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AEEF3" w:themeColor="accent5" w:themeTint="34" w:fill="DAEEF3" w:themeFill="accent5" w:themeFillTint="34"/>
      </w:tcPr>
    </w:tblStylePr>
    <w:tblStylePr w:type="band1Horz">
      <w:rPr>
        <w:rFonts w:ascii="Arial" w:hAnsi="Arial"/>
        <w:color w:val="404040"/>
        <w:sz w:val="22"/>
      </w:rPr>
      <w:tcPr>
        <w:shd w:val="clear" w:color="DAEEF3" w:themeColor="accent5" w:themeTint="34" w:fill="DAEEF3" w:themeFill="accent5" w:themeFillTint="34"/>
      </w:tcPr>
    </w:tblStylePr>
  </w:style>
  <w:style w:type="table" w:customStyle="1" w:styleId="94">
    <w:name w:val="Grid Table 4 - Accent 6"/>
    <w:autoRedefine/>
    <w:qFormat/>
    <w:uiPriority w:val="59"/>
    <w:pPr>
      <w:spacing w:after="0" w:line="240" w:lineRule="auto"/>
    </w:pPr>
    <w:tblPr>
      <w:tblBorders>
        <w:top w:val="single" w:color="FAC396" w:themeColor="accent6" w:themeTint="90" w:sz="4" w:space="0"/>
        <w:left w:val="single" w:color="FAC396" w:themeColor="accent6" w:themeTint="90" w:sz="4" w:space="0"/>
        <w:bottom w:val="single" w:color="FAC396" w:themeColor="accent6" w:themeTint="90" w:sz="4" w:space="0"/>
        <w:right w:val="single" w:color="FAC396" w:themeColor="accent6" w:themeTint="90" w:sz="4" w:space="0"/>
        <w:insideH w:val="single" w:color="FAC396" w:themeColor="accent6" w:themeTint="90" w:sz="4" w:space="0"/>
        <w:insideV w:val="single" w:color="FAC396" w:themeColor="accent6" w:themeTint="90" w:sz="4" w:space="0"/>
      </w:tblBorders>
    </w:tblPr>
    <w:tblStylePr w:type="firstRow">
      <w:rPr>
        <w:rFonts w:ascii="Arial" w:hAnsi="Arial"/>
        <w:b/>
        <w:color w:val="FFFFFF"/>
        <w:sz w:val="22"/>
      </w:rPr>
      <w:tcPr>
        <w:tcBorders>
          <w:top w:val="single" w:color="F79646" w:themeColor="accent6" w:sz="4" w:space="0"/>
          <w:left w:val="single" w:color="F79646" w:themeColor="accent6" w:sz="4" w:space="0"/>
          <w:bottom w:val="single" w:color="F79646" w:themeColor="accent6" w:sz="4" w:space="0"/>
          <w:right w:val="single" w:color="F79646" w:themeColor="accent6" w:sz="4" w:space="0"/>
        </w:tcBorders>
        <w:shd w:val="clear" w:color="F79646" w:themeColor="accent6" w:fill="F79646" w:themeFill="accent6"/>
      </w:tcPr>
    </w:tblStylePr>
    <w:tblStylePr w:type="lastRow">
      <w:rPr>
        <w:b/>
        <w:color w:val="404040"/>
      </w:rPr>
      <w:tcPr>
        <w:tcBorders>
          <w:top w:val="single" w:color="F79646" w:themeColor="accent6"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DE9D9" w:themeColor="accent6" w:themeTint="34" w:fill="FDE9D9" w:themeFill="accent6" w:themeFillTint="34"/>
      </w:tcPr>
    </w:tblStylePr>
    <w:tblStylePr w:type="band1Horz">
      <w:rPr>
        <w:rFonts w:ascii="Arial" w:hAnsi="Arial"/>
        <w:color w:val="404040"/>
        <w:sz w:val="22"/>
      </w:rPr>
      <w:tcPr>
        <w:shd w:val="clear" w:color="FDE9D9" w:themeColor="accent6" w:themeTint="34" w:fill="FDE9D9" w:themeFill="accent6" w:themeFillTint="34"/>
      </w:tcPr>
    </w:tblStylePr>
  </w:style>
  <w:style w:type="table" w:customStyle="1" w:styleId="95">
    <w:name w:val="Grid Table 5 Dark"/>
    <w:autoRedefine/>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000000" w:themeColor="text1" w:fill="000000" w:themeFill="text1"/>
      </w:tcPr>
    </w:tblStylePr>
    <w:tblStylePr w:type="lastRow">
      <w:rPr>
        <w:rFonts w:ascii="Arial" w:hAnsi="Arial"/>
        <w:b/>
        <w:color w:val="FFFFFF"/>
        <w:sz w:val="22"/>
      </w:rPr>
      <w:tcPr>
        <w:tcBorders>
          <w:top w:val="single" w:color="FFFFFF" w:themeColor="light1" w:sz="4" w:space="0"/>
        </w:tcBorders>
        <w:shd w:val="clear" w:color="000000" w:themeColor="text1" w:fill="000000" w:themeFill="text1"/>
      </w:tcPr>
    </w:tblStylePr>
    <w:tblStylePr w:type="firstCol">
      <w:rPr>
        <w:rFonts w:ascii="Arial" w:hAnsi="Arial"/>
        <w:b/>
        <w:color w:val="FFFFFF"/>
        <w:sz w:val="22"/>
      </w:rPr>
      <w:tcPr>
        <w:shd w:val="clear" w:color="000000" w:themeColor="text1" w:fill="000000" w:themeFill="text1"/>
      </w:tcPr>
    </w:tblStylePr>
    <w:tblStylePr w:type="lastCol">
      <w:rPr>
        <w:rFonts w:ascii="Arial" w:hAnsi="Arial"/>
        <w:b/>
        <w:color w:val="FFFFFF"/>
        <w:sz w:val="22"/>
      </w:rPr>
      <w:tcPr>
        <w:shd w:val="clear" w:color="000000" w:themeColor="text1" w:fill="000000" w:themeFill="text1"/>
      </w:tcPr>
    </w:tblStylePr>
    <w:tblStylePr w:type="band1Vert">
      <w:tcPr>
        <w:shd w:val="clear" w:color="898989" w:themeColor="text1" w:themeTint="75" w:fill="898989" w:themeFill="text1" w:themeFillTint="75"/>
      </w:tcPr>
    </w:tblStylePr>
    <w:tblStylePr w:type="band1Horz">
      <w:tcPr>
        <w:shd w:val="clear" w:color="898989" w:themeColor="text1" w:themeTint="75" w:fill="898989" w:themeFill="text1" w:themeFillTint="75"/>
      </w:tcPr>
    </w:tblStylePr>
  </w:style>
  <w:style w:type="table" w:customStyle="1" w:styleId="96">
    <w:name w:val="Grid Table 5 Dark- Accent 1"/>
    <w:autoRedefine/>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4F81BD" w:themeColor="accent1" w:fill="4F81BD" w:themeFill="accent1"/>
      </w:tcPr>
    </w:tblStylePr>
    <w:tblStylePr w:type="lastRow">
      <w:rPr>
        <w:rFonts w:ascii="Arial" w:hAnsi="Arial"/>
        <w:b/>
        <w:color w:val="FFFFFF"/>
        <w:sz w:val="22"/>
      </w:rPr>
      <w:tcPr>
        <w:tcBorders>
          <w:top w:val="single" w:color="FFFFFF" w:themeColor="light1" w:sz="4" w:space="0"/>
        </w:tcBorders>
        <w:shd w:val="clear" w:color="4F81BD" w:themeColor="accent1" w:fill="4F81BD" w:themeFill="accent1"/>
      </w:tcPr>
    </w:tblStylePr>
    <w:tblStylePr w:type="firstCol">
      <w:rPr>
        <w:rFonts w:ascii="Arial" w:hAnsi="Arial"/>
        <w:b/>
        <w:color w:val="FFFFFF"/>
        <w:sz w:val="22"/>
      </w:rPr>
      <w:tcPr>
        <w:shd w:val="clear" w:color="4F81BD" w:themeColor="accent1" w:fill="4F81BD" w:themeFill="accent1"/>
      </w:tcPr>
    </w:tblStylePr>
    <w:tblStylePr w:type="lastCol">
      <w:rPr>
        <w:rFonts w:ascii="Arial" w:hAnsi="Arial"/>
        <w:b/>
        <w:color w:val="FFFFFF"/>
        <w:sz w:val="22"/>
      </w:rPr>
      <w:tcPr>
        <w:shd w:val="clear" w:color="4F81BD" w:themeColor="accent1" w:fill="4F81BD" w:themeFill="accent1"/>
      </w:tcPr>
    </w:tblStylePr>
    <w:tblStylePr w:type="band1Vert">
      <w:tcPr>
        <w:shd w:val="clear" w:color="AEC5E0" w:themeColor="accent1" w:themeTint="75" w:fill="AEC5E0" w:themeFill="accent1" w:themeFillTint="75"/>
      </w:tcPr>
    </w:tblStylePr>
    <w:tblStylePr w:type="band1Horz">
      <w:tcPr>
        <w:shd w:val="clear" w:color="AEC5E0" w:themeColor="accent1" w:themeTint="75" w:fill="AEC5E0" w:themeFill="accent1" w:themeFillTint="75"/>
      </w:tcPr>
    </w:tblStylePr>
  </w:style>
  <w:style w:type="table" w:customStyle="1" w:styleId="97">
    <w:name w:val="Grid Table 5 Dark - Accent 2"/>
    <w:autoRedefine/>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C0504D" w:themeColor="accent2" w:fill="C0504D" w:themeFill="accent2"/>
      </w:tcPr>
    </w:tblStylePr>
    <w:tblStylePr w:type="lastRow">
      <w:rPr>
        <w:rFonts w:ascii="Arial" w:hAnsi="Arial"/>
        <w:b/>
        <w:color w:val="FFFFFF"/>
        <w:sz w:val="22"/>
      </w:rPr>
      <w:tcPr>
        <w:tcBorders>
          <w:top w:val="single" w:color="FFFFFF" w:themeColor="light1" w:sz="4" w:space="0"/>
        </w:tcBorders>
        <w:shd w:val="clear" w:color="C0504D" w:themeColor="accent2" w:fill="C0504D" w:themeFill="accent2"/>
      </w:tcPr>
    </w:tblStylePr>
    <w:tblStylePr w:type="firstCol">
      <w:rPr>
        <w:rFonts w:ascii="Arial" w:hAnsi="Arial"/>
        <w:b/>
        <w:color w:val="FFFFFF"/>
        <w:sz w:val="22"/>
      </w:rPr>
      <w:tcPr>
        <w:shd w:val="clear" w:color="C0504D" w:themeColor="accent2" w:fill="C0504D" w:themeFill="accent2"/>
      </w:tcPr>
    </w:tblStylePr>
    <w:tblStylePr w:type="lastCol">
      <w:rPr>
        <w:rFonts w:ascii="Arial" w:hAnsi="Arial"/>
        <w:b/>
        <w:color w:val="FFFFFF"/>
        <w:sz w:val="22"/>
      </w:rPr>
      <w:tcPr>
        <w:shd w:val="clear" w:color="C0504D" w:themeColor="accent2" w:fill="C0504D" w:themeFill="accent2"/>
      </w:tcPr>
    </w:tblStylePr>
    <w:tblStylePr w:type="band1Vert">
      <w:tcPr>
        <w:shd w:val="clear" w:color="E2AEAD" w:themeColor="accent2" w:themeTint="75" w:fill="E2AEAD" w:themeFill="accent2" w:themeFillTint="75"/>
      </w:tcPr>
    </w:tblStylePr>
    <w:tblStylePr w:type="band1Horz">
      <w:tcPr>
        <w:shd w:val="clear" w:color="E2AEAD" w:themeColor="accent2" w:themeTint="75" w:fill="E2AEAD" w:themeFill="accent2" w:themeFillTint="75"/>
      </w:tcPr>
    </w:tblStylePr>
  </w:style>
  <w:style w:type="table" w:customStyle="1" w:styleId="98">
    <w:name w:val="Grid Table 5 Dark - Accent 3"/>
    <w:autoRedefine/>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9BBB59" w:themeColor="accent3" w:fill="9BBB59" w:themeFill="accent3"/>
      </w:tcPr>
    </w:tblStylePr>
    <w:tblStylePr w:type="lastRow">
      <w:rPr>
        <w:rFonts w:ascii="Arial" w:hAnsi="Arial"/>
        <w:b/>
        <w:color w:val="FFFFFF"/>
        <w:sz w:val="22"/>
      </w:rPr>
      <w:tcPr>
        <w:tcBorders>
          <w:top w:val="single" w:color="FFFFFF" w:themeColor="light1" w:sz="4" w:space="0"/>
        </w:tcBorders>
        <w:shd w:val="clear" w:color="9BBB59" w:themeColor="accent3" w:fill="9BBB59" w:themeFill="accent3"/>
      </w:tcPr>
    </w:tblStylePr>
    <w:tblStylePr w:type="firstCol">
      <w:rPr>
        <w:rFonts w:ascii="Arial" w:hAnsi="Arial"/>
        <w:b/>
        <w:color w:val="FFFFFF"/>
        <w:sz w:val="22"/>
      </w:rPr>
      <w:tcPr>
        <w:shd w:val="clear" w:color="9BBB59" w:themeColor="accent3" w:fill="9BBB59" w:themeFill="accent3"/>
      </w:tcPr>
    </w:tblStylePr>
    <w:tblStylePr w:type="lastCol">
      <w:rPr>
        <w:rFonts w:ascii="Arial" w:hAnsi="Arial"/>
        <w:b/>
        <w:color w:val="FFFFFF"/>
        <w:sz w:val="22"/>
      </w:rPr>
      <w:tcPr>
        <w:shd w:val="clear" w:color="9BBB59" w:themeColor="accent3" w:fill="9BBB59" w:themeFill="accent3"/>
      </w:tcPr>
    </w:tblStylePr>
    <w:tblStylePr w:type="band1Vert">
      <w:tcPr>
        <w:shd w:val="clear" w:color="D1DFB2" w:themeColor="accent3" w:themeTint="75" w:fill="D1DFB2" w:themeFill="accent3" w:themeFillTint="75"/>
      </w:tcPr>
    </w:tblStylePr>
    <w:tblStylePr w:type="band1Horz">
      <w:tcPr>
        <w:shd w:val="clear" w:color="D1DFB2" w:themeColor="accent3" w:themeTint="75" w:fill="D1DFB2" w:themeFill="accent3" w:themeFillTint="75"/>
      </w:tcPr>
    </w:tblStylePr>
  </w:style>
  <w:style w:type="table" w:customStyle="1" w:styleId="99">
    <w:name w:val="Grid Table 5 Dark- Accent 4"/>
    <w:autoRedefine/>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8064A2" w:themeColor="accent4" w:fill="8064A2" w:themeFill="accent4"/>
      </w:tcPr>
    </w:tblStylePr>
    <w:tblStylePr w:type="lastRow">
      <w:rPr>
        <w:rFonts w:ascii="Arial" w:hAnsi="Arial"/>
        <w:b/>
        <w:color w:val="FFFFFF"/>
        <w:sz w:val="22"/>
      </w:rPr>
      <w:tcPr>
        <w:tcBorders>
          <w:top w:val="single" w:color="FFFFFF" w:themeColor="light1" w:sz="4" w:space="0"/>
        </w:tcBorders>
        <w:shd w:val="clear" w:color="8064A2" w:themeColor="accent4" w:fill="8064A2" w:themeFill="accent4"/>
      </w:tcPr>
    </w:tblStylePr>
    <w:tblStylePr w:type="firstCol">
      <w:rPr>
        <w:rFonts w:ascii="Arial" w:hAnsi="Arial"/>
        <w:b/>
        <w:color w:val="FFFFFF"/>
        <w:sz w:val="22"/>
      </w:rPr>
      <w:tcPr>
        <w:shd w:val="clear" w:color="8064A2" w:themeColor="accent4" w:fill="8064A2" w:themeFill="accent4"/>
      </w:tcPr>
    </w:tblStylePr>
    <w:tblStylePr w:type="lastCol">
      <w:rPr>
        <w:rFonts w:ascii="Arial" w:hAnsi="Arial"/>
        <w:b/>
        <w:color w:val="FFFFFF"/>
        <w:sz w:val="22"/>
      </w:rPr>
      <w:tcPr>
        <w:shd w:val="clear" w:color="8064A2" w:themeColor="accent4" w:fill="8064A2" w:themeFill="accent4"/>
      </w:tcPr>
    </w:tblStylePr>
    <w:tblStylePr w:type="band1Vert">
      <w:tcPr>
        <w:shd w:val="clear" w:color="C4B7D4" w:themeColor="accent4" w:themeTint="75" w:fill="C4B7D4" w:themeFill="accent4" w:themeFillTint="75"/>
      </w:tcPr>
    </w:tblStylePr>
    <w:tblStylePr w:type="band1Horz">
      <w:tcPr>
        <w:shd w:val="clear" w:color="C4B7D4" w:themeColor="accent4" w:themeTint="75" w:fill="C4B7D4" w:themeFill="accent4" w:themeFillTint="75"/>
      </w:tcPr>
    </w:tblStylePr>
  </w:style>
  <w:style w:type="table" w:customStyle="1" w:styleId="100">
    <w:name w:val="Grid Table 5 Dark - Accent 5"/>
    <w:autoRedefine/>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4BACC6" w:themeColor="accent5" w:fill="4BACC6" w:themeFill="accent5"/>
      </w:tcPr>
    </w:tblStylePr>
    <w:tblStylePr w:type="lastRow">
      <w:rPr>
        <w:rFonts w:ascii="Arial" w:hAnsi="Arial"/>
        <w:b/>
        <w:color w:val="FFFFFF"/>
        <w:sz w:val="22"/>
      </w:rPr>
      <w:tcPr>
        <w:tcBorders>
          <w:top w:val="single" w:color="FFFFFF" w:themeColor="light1" w:sz="4" w:space="0"/>
        </w:tcBorders>
        <w:shd w:val="clear" w:color="4BACC6" w:themeColor="accent5" w:fill="4BACC6" w:themeFill="accent5"/>
      </w:tcPr>
    </w:tblStylePr>
    <w:tblStylePr w:type="firstCol">
      <w:rPr>
        <w:rFonts w:ascii="Arial" w:hAnsi="Arial"/>
        <w:b/>
        <w:color w:val="FFFFFF"/>
        <w:sz w:val="22"/>
      </w:rPr>
      <w:tcPr>
        <w:shd w:val="clear" w:color="4BACC6" w:themeColor="accent5" w:fill="4BACC6" w:themeFill="accent5"/>
      </w:tcPr>
    </w:tblStylePr>
    <w:tblStylePr w:type="lastCol">
      <w:rPr>
        <w:rFonts w:ascii="Arial" w:hAnsi="Arial"/>
        <w:b/>
        <w:color w:val="FFFFFF"/>
        <w:sz w:val="22"/>
      </w:rPr>
      <w:tcPr>
        <w:shd w:val="clear" w:color="4BACC6" w:themeColor="accent5" w:fill="4BACC6" w:themeFill="accent5"/>
      </w:tcPr>
    </w:tblStylePr>
    <w:tblStylePr w:type="band1Vert">
      <w:tcPr>
        <w:shd w:val="clear" w:color="ACD8E4" w:themeColor="accent5" w:themeTint="75" w:fill="ACD8E4" w:themeFill="accent5" w:themeFillTint="75"/>
      </w:tcPr>
    </w:tblStylePr>
    <w:tblStylePr w:type="band1Horz">
      <w:tcPr>
        <w:shd w:val="clear" w:color="ACD8E4" w:themeColor="accent5" w:themeTint="75" w:fill="ACD8E4" w:themeFill="accent5" w:themeFillTint="75"/>
      </w:tcPr>
    </w:tblStylePr>
  </w:style>
  <w:style w:type="table" w:customStyle="1" w:styleId="101">
    <w:name w:val="Grid Table 5 Dark - Accent 6"/>
    <w:autoRedefine/>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F79646" w:themeColor="accent6" w:fill="F79646" w:themeFill="accent6"/>
      </w:tcPr>
    </w:tblStylePr>
    <w:tblStylePr w:type="lastRow">
      <w:rPr>
        <w:rFonts w:ascii="Arial" w:hAnsi="Arial"/>
        <w:b/>
        <w:color w:val="FFFFFF"/>
        <w:sz w:val="22"/>
      </w:rPr>
      <w:tcPr>
        <w:tcBorders>
          <w:top w:val="single" w:color="FFFFFF" w:themeColor="light1" w:sz="4" w:space="0"/>
        </w:tcBorders>
        <w:shd w:val="clear" w:color="F79646" w:themeColor="accent6" w:fill="F79646" w:themeFill="accent6"/>
      </w:tcPr>
    </w:tblStylePr>
    <w:tblStylePr w:type="firstCol">
      <w:rPr>
        <w:rFonts w:ascii="Arial" w:hAnsi="Arial"/>
        <w:b/>
        <w:color w:val="FFFFFF"/>
        <w:sz w:val="22"/>
      </w:rPr>
      <w:tcPr>
        <w:shd w:val="clear" w:color="F79646" w:themeColor="accent6" w:fill="F79646" w:themeFill="accent6"/>
      </w:tcPr>
    </w:tblStylePr>
    <w:tblStylePr w:type="lastCol">
      <w:rPr>
        <w:rFonts w:ascii="Arial" w:hAnsi="Arial"/>
        <w:b/>
        <w:color w:val="FFFFFF"/>
        <w:sz w:val="22"/>
      </w:rPr>
      <w:tcPr>
        <w:shd w:val="clear" w:color="F79646" w:themeColor="accent6" w:fill="F79646" w:themeFill="accent6"/>
      </w:tcPr>
    </w:tblStylePr>
    <w:tblStylePr w:type="band1Vert">
      <w:tcPr>
        <w:shd w:val="clear" w:color="FBCEAA" w:themeColor="accent6" w:themeTint="75" w:fill="FBCEAA" w:themeFill="accent6" w:themeFillTint="75"/>
      </w:tcPr>
    </w:tblStylePr>
    <w:tblStylePr w:type="band1Horz">
      <w:tcPr>
        <w:shd w:val="clear" w:color="FBCEAA" w:themeColor="accent6" w:themeTint="75" w:fill="FBCEAA" w:themeFill="accent6" w:themeFillTint="75"/>
      </w:tcPr>
    </w:tblStylePr>
  </w:style>
  <w:style w:type="table" w:customStyle="1" w:styleId="102">
    <w:name w:val="Grid Table 6 Colorful"/>
    <w:autoRedefine/>
    <w:qFormat/>
    <w:uiPriority w:val="99"/>
    <w:pPr>
      <w:spacing w:after="0" w:line="240" w:lineRule="auto"/>
    </w:pPr>
    <w:tblPr>
      <w:tblBorders>
        <w:top w:val="single" w:color="7E7E7E" w:themeColor="text1" w:themeTint="80" w:sz="4" w:space="0"/>
        <w:left w:val="single" w:color="7E7E7E" w:themeColor="text1" w:themeTint="80" w:sz="4" w:space="0"/>
        <w:bottom w:val="single" w:color="7E7E7E" w:themeColor="text1" w:themeTint="80" w:sz="4" w:space="0"/>
        <w:right w:val="single" w:color="7E7E7E" w:themeColor="text1" w:themeTint="80" w:sz="4" w:space="0"/>
        <w:insideH w:val="single" w:color="7E7E7E" w:themeColor="text1" w:themeTint="80" w:sz="4" w:space="0"/>
        <w:insideV w:val="single" w:color="7E7E7E" w:themeColor="text1" w:themeTint="80" w:sz="4" w:space="0"/>
      </w:tblBorders>
    </w:tblPr>
    <w:tblStylePr w:type="firstRow">
      <w:rPr>
        <w:b/>
        <w:color w:val="808080" w:themeColor="text1" w:themeTint="80"/>
        <w14:textFill>
          <w14:solidFill>
            <w14:schemeClr w14:val="tx1">
              <w14:lumMod w14:val="50000"/>
              <w14:lumOff w14:val="50000"/>
            </w14:schemeClr>
          </w14:solidFill>
        </w14:textFill>
      </w:rPr>
      <w:tcPr>
        <w:tcBorders>
          <w:bottom w:val="single" w:color="7E7E7E" w:themeColor="text1" w:themeTint="80" w:sz="12" w:space="0"/>
        </w:tcBorders>
      </w:tcPr>
    </w:tblStylePr>
    <w:tblStylePr w:type="lastRow">
      <w:rPr>
        <w:b/>
        <w:color w:val="808080" w:themeColor="text1" w:themeTint="80"/>
        <w14:textFill>
          <w14:solidFill>
            <w14:schemeClr w14:val="tx1">
              <w14:lumMod w14:val="50000"/>
              <w14:lumOff w14:val="50000"/>
            </w14:schemeClr>
          </w14:solidFill>
        </w14:textFill>
      </w:rPr>
    </w:tblStylePr>
    <w:tblStylePr w:type="firstCol">
      <w:rPr>
        <w:b/>
        <w:color w:val="808080" w:themeColor="text1" w:themeTint="80"/>
        <w14:textFill>
          <w14:solidFill>
            <w14:schemeClr w14:val="tx1">
              <w14:lumMod w14:val="50000"/>
              <w14:lumOff w14:val="50000"/>
            </w14:schemeClr>
          </w14:solidFill>
        </w14:textFill>
      </w:rPr>
    </w:tblStylePr>
    <w:tblStylePr w:type="lastCol">
      <w:rPr>
        <w:b/>
        <w:color w:val="808080" w:themeColor="text1" w:themeTint="80"/>
        <w14:textFill>
          <w14:solidFill>
            <w14:schemeClr w14:val="tx1">
              <w14:lumMod w14:val="50000"/>
              <w14:lumOff w14:val="50000"/>
            </w14:schemeClr>
          </w14:solidFill>
        </w14:textFill>
      </w:rPr>
    </w:tblStylePr>
    <w:tblStylePr w:type="band1Vert">
      <w:tcPr>
        <w:shd w:val="clear" w:color="CACACA" w:themeColor="text1" w:themeTint="34" w:fill="CACACA" w:themeFill="text1" w:themeFillTint="34"/>
      </w:tcPr>
    </w:tblStylePr>
    <w:tblStylePr w:type="band1Horz">
      <w:rPr>
        <w:rFonts w:ascii="Arial" w:hAnsi="Arial"/>
        <w:color w:val="808080" w:themeColor="text1" w:themeTint="80"/>
        <w:sz w:val="22"/>
        <w14:textFill>
          <w14:solidFill>
            <w14:schemeClr w14:val="tx1">
              <w14:lumMod w14:val="50000"/>
              <w14:lumOff w14:val="50000"/>
            </w14:schemeClr>
          </w14:solidFill>
        </w14:textFill>
      </w:rPr>
      <w:tcPr>
        <w:shd w:val="clear" w:color="CACACA" w:themeColor="text1" w:themeTint="34" w:fill="CACACA" w:themeFill="text1" w:themeFillTint="34"/>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style>
  <w:style w:type="table" w:customStyle="1" w:styleId="103">
    <w:name w:val="Grid Table 6 Colorful - Accent 1"/>
    <w:autoRedefine/>
    <w:qFormat/>
    <w:uiPriority w:val="99"/>
    <w:pPr>
      <w:spacing w:after="0" w:line="240" w:lineRule="auto"/>
    </w:pPr>
    <w:tblPr>
      <w:tblBorders>
        <w:top w:val="single" w:color="A6BFDD" w:themeColor="accent1" w:themeTint="80" w:sz="4" w:space="0"/>
        <w:left w:val="single" w:color="A6BFDD" w:themeColor="accent1" w:themeTint="80" w:sz="4" w:space="0"/>
        <w:bottom w:val="single" w:color="A6BFDD" w:themeColor="accent1" w:themeTint="80" w:sz="4" w:space="0"/>
        <w:right w:val="single" w:color="A6BFDD" w:themeColor="accent1" w:themeTint="80" w:sz="4" w:space="0"/>
        <w:insideH w:val="single" w:color="A6BFDD" w:themeColor="accent1" w:themeTint="80" w:sz="4" w:space="0"/>
        <w:insideV w:val="single" w:color="A6BFDD" w:themeColor="accent1" w:themeTint="80" w:sz="4" w:space="0"/>
      </w:tblBorders>
    </w:tblPr>
    <w:tblStylePr w:type="firstRow">
      <w:rPr>
        <w:b/>
        <w:color w:val="A7C0DE" w:themeColor="accent1" w:themeTint="80"/>
        <w14:textFill>
          <w14:solidFill>
            <w14:schemeClr w14:val="accent1">
              <w14:lumMod w14:val="50000"/>
              <w14:lumOff w14:val="50000"/>
            </w14:schemeClr>
          </w14:solidFill>
        </w14:textFill>
      </w:rPr>
      <w:tcPr>
        <w:tcBorders>
          <w:bottom w:val="single" w:color="A6BFDD" w:themeColor="accent1" w:themeTint="80" w:sz="12" w:space="0"/>
        </w:tcBorders>
      </w:tcPr>
    </w:tblStylePr>
    <w:tblStylePr w:type="lastRow">
      <w:rPr>
        <w:b/>
        <w:color w:val="A7C0DE" w:themeColor="accent1" w:themeTint="80"/>
        <w14:textFill>
          <w14:solidFill>
            <w14:schemeClr w14:val="accent1">
              <w14:lumMod w14:val="50000"/>
              <w14:lumOff w14:val="50000"/>
            </w14:schemeClr>
          </w14:solidFill>
        </w14:textFill>
      </w:rPr>
    </w:tblStylePr>
    <w:tblStylePr w:type="firstCol">
      <w:rPr>
        <w:b/>
        <w:color w:val="A7C0DE" w:themeColor="accent1" w:themeTint="80"/>
        <w14:textFill>
          <w14:solidFill>
            <w14:schemeClr w14:val="accent1">
              <w14:lumMod w14:val="50000"/>
              <w14:lumOff w14:val="50000"/>
            </w14:schemeClr>
          </w14:solidFill>
        </w14:textFill>
      </w:rPr>
    </w:tblStylePr>
    <w:tblStylePr w:type="lastCol">
      <w:rPr>
        <w:b/>
        <w:color w:val="A7C0DE" w:themeColor="accent1" w:themeTint="80"/>
        <w14:textFill>
          <w14:solidFill>
            <w14:schemeClr w14:val="accent1">
              <w14:lumMod w14:val="50000"/>
              <w14:lumOff w14:val="50000"/>
            </w14:schemeClr>
          </w14:solidFill>
        </w14:textFill>
      </w:rPr>
    </w:tblStylePr>
    <w:tblStylePr w:type="band1Vert">
      <w:tcPr>
        <w:shd w:val="clear" w:color="DBE5F1" w:themeColor="accent1" w:themeTint="34" w:fill="DBE5F1" w:themeFill="accent1" w:themeFillTint="34"/>
      </w:tcPr>
    </w:tblStylePr>
    <w:tblStylePr w:type="band1Horz">
      <w:rPr>
        <w:rFonts w:ascii="Arial" w:hAnsi="Arial"/>
        <w:color w:val="A7C0DE" w:themeColor="accent1" w:themeTint="80"/>
        <w:sz w:val="22"/>
        <w14:textFill>
          <w14:solidFill>
            <w14:schemeClr w14:val="accent1">
              <w14:lumMod w14:val="50000"/>
              <w14:lumOff w14:val="50000"/>
            </w14:schemeClr>
          </w14:solidFill>
        </w14:textFill>
      </w:rPr>
      <w:tcPr>
        <w:shd w:val="clear" w:color="DBE5F1" w:themeColor="accent1" w:themeTint="34" w:fill="DBE5F1" w:themeFill="accent1" w:themeFillTint="34"/>
      </w:tcPr>
    </w:tblStylePr>
    <w:tblStylePr w:type="band2Horz">
      <w:rPr>
        <w:rFonts w:ascii="Arial" w:hAnsi="Arial"/>
        <w:color w:val="A7C0DE" w:themeColor="accent1" w:themeTint="80"/>
        <w:sz w:val="22"/>
        <w14:textFill>
          <w14:solidFill>
            <w14:schemeClr w14:val="accent1">
              <w14:lumMod w14:val="50000"/>
              <w14:lumOff w14:val="50000"/>
            </w14:schemeClr>
          </w14:solidFill>
        </w14:textFill>
      </w:rPr>
    </w:tblStylePr>
  </w:style>
  <w:style w:type="table" w:customStyle="1" w:styleId="104">
    <w:name w:val="Grid Table 6 Colorful - Accent 2"/>
    <w:autoRedefine/>
    <w:qFormat/>
    <w:uiPriority w:val="99"/>
    <w:pPr>
      <w:spacing w:after="0" w:line="240" w:lineRule="auto"/>
    </w:pPr>
    <w:tblPr>
      <w:tblBorders>
        <w:top w:val="single" w:color="D99795" w:themeColor="accent2" w:themeTint="97" w:sz="4" w:space="0"/>
        <w:left w:val="single" w:color="D99795" w:themeColor="accent2" w:themeTint="97" w:sz="4" w:space="0"/>
        <w:bottom w:val="single" w:color="D99795" w:themeColor="accent2" w:themeTint="97" w:sz="4" w:space="0"/>
        <w:right w:val="single" w:color="D99795" w:themeColor="accent2" w:themeTint="97" w:sz="4" w:space="0"/>
        <w:insideH w:val="single" w:color="D99795" w:themeColor="accent2" w:themeTint="97" w:sz="4" w:space="0"/>
        <w:insideV w:val="single" w:color="D99795" w:themeColor="accent2" w:themeTint="97" w:sz="4" w:space="0"/>
      </w:tblBorders>
    </w:tblPr>
    <w:tblStylePr w:type="firstRow">
      <w:rPr>
        <w:b/>
        <w:color w:val="DA9896" w:themeColor="accent2" w:themeTint="96"/>
        <w14:textFill>
          <w14:solidFill>
            <w14:schemeClr w14:val="accent2">
              <w14:lumMod w14:val="59000"/>
              <w14:lumOff w14:val="41000"/>
            </w14:schemeClr>
          </w14:solidFill>
        </w14:textFill>
      </w:rPr>
      <w:tcPr>
        <w:tcBorders>
          <w:bottom w:val="single" w:color="D99795" w:themeColor="accent2" w:themeTint="97" w:sz="12" w:space="0"/>
        </w:tcBorders>
      </w:tcPr>
    </w:tblStylePr>
    <w:tblStylePr w:type="lastRow">
      <w:rPr>
        <w:b/>
        <w:color w:val="DA9896" w:themeColor="accent2" w:themeTint="96"/>
        <w14:textFill>
          <w14:solidFill>
            <w14:schemeClr w14:val="accent2">
              <w14:lumMod w14:val="59000"/>
              <w14:lumOff w14:val="41000"/>
            </w14:schemeClr>
          </w14:solidFill>
        </w14:textFill>
      </w:rPr>
    </w:tblStylePr>
    <w:tblStylePr w:type="firstCol">
      <w:rPr>
        <w:b/>
        <w:color w:val="DA9896" w:themeColor="accent2" w:themeTint="96"/>
        <w14:textFill>
          <w14:solidFill>
            <w14:schemeClr w14:val="accent2">
              <w14:lumMod w14:val="59000"/>
              <w14:lumOff w14:val="41000"/>
            </w14:schemeClr>
          </w14:solidFill>
        </w14:textFill>
      </w:rPr>
    </w:tblStylePr>
    <w:tblStylePr w:type="lastCol">
      <w:rPr>
        <w:b/>
        <w:color w:val="DA9896" w:themeColor="accent2" w:themeTint="96"/>
        <w14:textFill>
          <w14:solidFill>
            <w14:schemeClr w14:val="accent2">
              <w14:lumMod w14:val="59000"/>
              <w14:lumOff w14:val="41000"/>
            </w14:schemeClr>
          </w14:solidFill>
        </w14:textFill>
      </w:rPr>
    </w:tblStylePr>
    <w:tblStylePr w:type="band1Vert">
      <w:tcPr>
        <w:shd w:val="clear" w:color="F2DCDC" w:themeColor="accent2" w:themeTint="32" w:fill="F2DCDC" w:themeFill="accent2" w:themeFillTint="32"/>
      </w:tcPr>
    </w:tblStylePr>
    <w:tblStylePr w:type="band1Horz">
      <w:rPr>
        <w:rFonts w:ascii="Arial" w:hAnsi="Arial"/>
        <w:color w:val="DA9896" w:themeColor="accent2" w:themeTint="96"/>
        <w:sz w:val="22"/>
        <w14:textFill>
          <w14:solidFill>
            <w14:schemeClr w14:val="accent2">
              <w14:lumMod w14:val="59000"/>
              <w14:lumOff w14:val="41000"/>
            </w14:schemeClr>
          </w14:solidFill>
        </w14:textFill>
      </w:rPr>
      <w:tcPr>
        <w:shd w:val="clear" w:color="F2DCDC" w:themeColor="accent2" w:themeTint="32" w:fill="F2DCDC" w:themeFill="accent2" w:themeFillTint="32"/>
      </w:tcPr>
    </w:tblStylePr>
    <w:tblStylePr w:type="band2Horz">
      <w:rPr>
        <w:rFonts w:ascii="Arial" w:hAnsi="Arial"/>
        <w:color w:val="DA9896" w:themeColor="accent2" w:themeTint="96"/>
        <w:sz w:val="22"/>
        <w14:textFill>
          <w14:solidFill>
            <w14:schemeClr w14:val="accent2">
              <w14:lumMod w14:val="59000"/>
              <w14:lumOff w14:val="41000"/>
            </w14:schemeClr>
          </w14:solidFill>
        </w14:textFill>
      </w:rPr>
    </w:tblStylePr>
  </w:style>
  <w:style w:type="table" w:customStyle="1" w:styleId="105">
    <w:name w:val="Grid Table 6 Colorful - Accent 3"/>
    <w:autoRedefine/>
    <w:qFormat/>
    <w:uiPriority w:val="99"/>
    <w:pPr>
      <w:spacing w:after="0" w:line="240" w:lineRule="auto"/>
    </w:pPr>
    <w:tblPr>
      <w:tblBorders>
        <w:top w:val="single" w:color="9BBB59" w:themeColor="accent3" w:themeTint="FE" w:sz="4" w:space="0"/>
        <w:left w:val="single" w:color="9BBB59" w:themeColor="accent3" w:themeTint="FE" w:sz="4" w:space="0"/>
        <w:bottom w:val="single" w:color="9BBB59" w:themeColor="accent3" w:themeTint="FE" w:sz="4" w:space="0"/>
        <w:right w:val="single" w:color="9BBB59" w:themeColor="accent3" w:themeTint="FE" w:sz="4" w:space="0"/>
        <w:insideH w:val="single" w:color="9BBB59" w:themeColor="accent3" w:themeTint="FE" w:sz="4" w:space="0"/>
        <w:insideV w:val="single" w:color="9BBB59" w:themeColor="accent3" w:themeTint="FE" w:sz="4" w:space="0"/>
      </w:tblBorders>
    </w:tblPr>
    <w:tblStylePr w:type="firstRow">
      <w:rPr>
        <w:b/>
        <w:color w:val="9BBB59" w:themeColor="accent3" w:themeTint="FF"/>
        <w14:textFill>
          <w14:solidFill>
            <w14:schemeClr w14:val="accent3">
              <w14:lumMod w14:val="100000"/>
              <w14:lumOff w14:val="0"/>
            </w14:schemeClr>
          </w14:solidFill>
        </w14:textFill>
      </w:rPr>
      <w:tcPr>
        <w:tcBorders>
          <w:bottom w:val="single" w:color="9BBB59" w:themeColor="accent3" w:themeTint="FE" w:sz="12" w:space="0"/>
        </w:tcBorders>
      </w:tcPr>
    </w:tblStylePr>
    <w:tblStylePr w:type="lastRow">
      <w:rPr>
        <w:b/>
        <w:color w:val="9BBB59" w:themeColor="accent3" w:themeTint="FF"/>
        <w14:textFill>
          <w14:solidFill>
            <w14:schemeClr w14:val="accent3">
              <w14:lumMod w14:val="100000"/>
              <w14:lumOff w14:val="0"/>
            </w14:schemeClr>
          </w14:solidFill>
        </w14:textFill>
      </w:rPr>
    </w:tblStylePr>
    <w:tblStylePr w:type="firstCol">
      <w:rPr>
        <w:b/>
        <w:color w:val="9BBB59" w:themeColor="accent3" w:themeTint="FF"/>
        <w14:textFill>
          <w14:solidFill>
            <w14:schemeClr w14:val="accent3">
              <w14:lumMod w14:val="100000"/>
              <w14:lumOff w14:val="0"/>
            </w14:schemeClr>
          </w14:solidFill>
        </w14:textFill>
      </w:rPr>
    </w:tblStylePr>
    <w:tblStylePr w:type="lastCol">
      <w:rPr>
        <w:b/>
        <w:color w:val="9BBB59" w:themeColor="accent3" w:themeTint="FF"/>
        <w14:textFill>
          <w14:solidFill>
            <w14:schemeClr w14:val="accent3">
              <w14:lumMod w14:val="100000"/>
              <w14:lumOff w14:val="0"/>
            </w14:schemeClr>
          </w14:solidFill>
        </w14:textFill>
      </w:rPr>
    </w:tblStylePr>
    <w:tblStylePr w:type="band1Vert">
      <w:tcPr>
        <w:shd w:val="clear" w:color="EAF1DD" w:themeColor="accent3" w:themeTint="34" w:fill="EAF1DD" w:themeFill="accent3" w:themeFillTint="34"/>
      </w:tcPr>
    </w:tblStylePr>
    <w:tblStylePr w:type="band1Horz">
      <w:rPr>
        <w:rFonts w:ascii="Arial" w:hAnsi="Arial"/>
        <w:color w:val="9BBB59" w:themeColor="accent3" w:themeTint="FF"/>
        <w:sz w:val="22"/>
        <w14:textFill>
          <w14:solidFill>
            <w14:schemeClr w14:val="accent3">
              <w14:lumMod w14:val="100000"/>
              <w14:lumOff w14:val="0"/>
            </w14:schemeClr>
          </w14:solidFill>
        </w14:textFill>
      </w:rPr>
      <w:tcPr>
        <w:shd w:val="clear" w:color="EAF1DD" w:themeColor="accent3" w:themeTint="34" w:fill="EAF1DD" w:themeFill="accent3" w:themeFillTint="34"/>
      </w:tcPr>
    </w:tblStylePr>
    <w:tblStylePr w:type="band2Horz">
      <w:rPr>
        <w:rFonts w:ascii="Arial" w:hAnsi="Arial"/>
        <w:color w:val="9BBB59" w:themeColor="accent3" w:themeTint="FF"/>
        <w:sz w:val="22"/>
        <w14:textFill>
          <w14:solidFill>
            <w14:schemeClr w14:val="accent3">
              <w14:lumMod w14:val="100000"/>
              <w14:lumOff w14:val="0"/>
            </w14:schemeClr>
          </w14:solidFill>
        </w14:textFill>
      </w:rPr>
    </w:tblStylePr>
  </w:style>
  <w:style w:type="table" w:customStyle="1" w:styleId="106">
    <w:name w:val="Grid Table 6 Colorful - Accent 4"/>
    <w:autoRedefine/>
    <w:qFormat/>
    <w:uiPriority w:val="99"/>
    <w:pPr>
      <w:spacing w:after="0" w:line="240" w:lineRule="auto"/>
    </w:pPr>
    <w:tblPr>
      <w:tbl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insideH w:val="single" w:color="B2A1C6" w:themeColor="accent4" w:themeTint="9A" w:sz="4" w:space="0"/>
        <w:insideV w:val="single" w:color="B2A1C6" w:themeColor="accent4" w:themeTint="9A" w:sz="4" w:space="0"/>
      </w:tblBorders>
    </w:tblPr>
    <w:tblStylePr w:type="firstRow">
      <w:rPr>
        <w:b/>
        <w:color w:val="B3A2C7" w:themeColor="accent4" w:themeTint="99"/>
        <w14:textFill>
          <w14:solidFill>
            <w14:schemeClr w14:val="accent4">
              <w14:lumMod w14:val="60000"/>
              <w14:lumOff w14:val="40000"/>
            </w14:schemeClr>
          </w14:solidFill>
        </w14:textFill>
      </w:rPr>
      <w:tcPr>
        <w:tcBorders>
          <w:bottom w:val="single" w:color="B2A1C6" w:themeColor="accent4" w:themeTint="9A" w:sz="12" w:space="0"/>
        </w:tcBorders>
      </w:tcPr>
    </w:tblStylePr>
    <w:tblStylePr w:type="lastRow">
      <w:rPr>
        <w:b/>
        <w:color w:val="B3A2C7" w:themeColor="accent4" w:themeTint="99"/>
        <w14:textFill>
          <w14:solidFill>
            <w14:schemeClr w14:val="accent4">
              <w14:lumMod w14:val="60000"/>
              <w14:lumOff w14:val="40000"/>
            </w14:schemeClr>
          </w14:solidFill>
        </w14:textFill>
      </w:rPr>
    </w:tblStylePr>
    <w:tblStylePr w:type="firstCol">
      <w:rPr>
        <w:b/>
        <w:color w:val="B3A2C7" w:themeColor="accent4" w:themeTint="99"/>
        <w14:textFill>
          <w14:solidFill>
            <w14:schemeClr w14:val="accent4">
              <w14:lumMod w14:val="60000"/>
              <w14:lumOff w14:val="40000"/>
            </w14:schemeClr>
          </w14:solidFill>
        </w14:textFill>
      </w:rPr>
    </w:tblStylePr>
    <w:tblStylePr w:type="lastCol">
      <w:rPr>
        <w:b/>
        <w:color w:val="B3A2C7" w:themeColor="accent4" w:themeTint="99"/>
        <w14:textFill>
          <w14:solidFill>
            <w14:schemeClr w14:val="accent4">
              <w14:lumMod w14:val="60000"/>
              <w14:lumOff w14:val="40000"/>
            </w14:schemeClr>
          </w14:solidFill>
        </w14:textFill>
      </w:rPr>
    </w:tblStylePr>
    <w:tblStylePr w:type="band1Vert">
      <w:tcPr>
        <w:shd w:val="clear" w:color="E5DFEC" w:themeColor="accent4" w:themeTint="34" w:fill="E5DFEC" w:themeFill="accent4" w:themeFillTint="34"/>
      </w:tcPr>
    </w:tblStylePr>
    <w:tblStylePr w:type="band1Horz">
      <w:rPr>
        <w:rFonts w:ascii="Arial" w:hAnsi="Arial"/>
        <w:color w:val="B3A2C7" w:themeColor="accent4" w:themeTint="99"/>
        <w:sz w:val="22"/>
        <w14:textFill>
          <w14:solidFill>
            <w14:schemeClr w14:val="accent4">
              <w14:lumMod w14:val="60000"/>
              <w14:lumOff w14:val="40000"/>
            </w14:schemeClr>
          </w14:solidFill>
        </w14:textFill>
      </w:rPr>
      <w:tcPr>
        <w:shd w:val="clear" w:color="E5DFEC" w:themeColor="accent4" w:themeTint="34" w:fill="E5DFEC" w:themeFill="accent4" w:themeFillTint="34"/>
      </w:tcPr>
    </w:tblStylePr>
    <w:tblStylePr w:type="band2Horz">
      <w:rPr>
        <w:rFonts w:ascii="Arial" w:hAnsi="Arial"/>
        <w:color w:val="B3A2C7" w:themeColor="accent4" w:themeTint="99"/>
        <w:sz w:val="22"/>
        <w14:textFill>
          <w14:solidFill>
            <w14:schemeClr w14:val="accent4">
              <w14:lumMod w14:val="60000"/>
              <w14:lumOff w14:val="40000"/>
            </w14:schemeClr>
          </w14:solidFill>
        </w14:textFill>
      </w:rPr>
    </w:tblStylePr>
  </w:style>
  <w:style w:type="table" w:customStyle="1" w:styleId="107">
    <w:name w:val="Grid Table 6 Colorful - Accent 5"/>
    <w:autoRedefine/>
    <w:qFormat/>
    <w:uiPriority w:val="99"/>
    <w:pPr>
      <w:spacing w:after="0" w:line="240" w:lineRule="auto"/>
    </w:pPr>
    <w:tblPr>
      <w:tblBorders>
        <w:top w:val="single" w:color="4BACC6" w:themeColor="accent5" w:sz="4" w:space="0"/>
        <w:left w:val="single" w:color="4BACC6" w:themeColor="accent5" w:sz="4" w:space="0"/>
        <w:bottom w:val="single" w:color="4BACC6" w:themeColor="accent5" w:sz="4" w:space="0"/>
        <w:right w:val="single" w:color="4BACC6" w:themeColor="accent5" w:sz="4" w:space="0"/>
        <w:insideH w:val="single" w:color="4BACC6" w:themeColor="accent5" w:sz="4" w:space="0"/>
        <w:insideV w:val="single" w:color="4BACC6" w:themeColor="accent5" w:sz="4" w:space="0"/>
      </w:tblBorders>
    </w:tblPr>
    <w:tblStylePr w:type="firstRow">
      <w:rPr>
        <w:b/>
        <w:color w:val="266778" w:themeColor="accent5" w:themeShade="94"/>
      </w:rPr>
      <w:tcPr>
        <w:tcBorders>
          <w:bottom w:val="single" w:color="4BACC6" w:themeColor="accent5" w:sz="12" w:space="0"/>
        </w:tcBorders>
      </w:tcPr>
    </w:tblStylePr>
    <w:tblStylePr w:type="lastRow">
      <w:rPr>
        <w:b/>
        <w:color w:val="266778" w:themeColor="accent5" w:themeShade="94"/>
      </w:rPr>
    </w:tblStylePr>
    <w:tblStylePr w:type="firstCol">
      <w:rPr>
        <w:b/>
        <w:color w:val="266778" w:themeColor="accent5" w:themeShade="94"/>
      </w:rPr>
    </w:tblStylePr>
    <w:tblStylePr w:type="lastCol">
      <w:rPr>
        <w:b/>
        <w:color w:val="266778" w:themeColor="accent5" w:themeShade="94"/>
      </w:rPr>
    </w:tblStylePr>
    <w:tblStylePr w:type="band1Vert">
      <w:tcPr>
        <w:shd w:val="clear" w:color="DAEEF3" w:themeColor="accent5" w:themeTint="34" w:fill="DAEEF3" w:themeFill="accent5" w:themeFillTint="34"/>
      </w:tcPr>
    </w:tblStylePr>
    <w:tblStylePr w:type="band1Horz">
      <w:rPr>
        <w:rFonts w:ascii="Arial" w:hAnsi="Arial"/>
        <w:color w:val="266778" w:themeColor="accent5" w:themeShade="94"/>
        <w:sz w:val="22"/>
      </w:rPr>
      <w:tcPr>
        <w:shd w:val="clear" w:color="DAEEF3" w:themeColor="accent5" w:themeTint="34" w:fill="DAEEF3" w:themeFill="accent5" w:themeFillTint="34"/>
      </w:tcPr>
    </w:tblStylePr>
    <w:tblStylePr w:type="band2Horz">
      <w:rPr>
        <w:rFonts w:ascii="Arial" w:hAnsi="Arial"/>
        <w:color w:val="266778" w:themeColor="accent5" w:themeShade="94"/>
        <w:sz w:val="22"/>
      </w:rPr>
    </w:tblStylePr>
  </w:style>
  <w:style w:type="table" w:customStyle="1" w:styleId="108">
    <w:name w:val="Grid Table 6 Colorful - Accent 6"/>
    <w:autoRedefine/>
    <w:qFormat/>
    <w:uiPriority w:val="99"/>
    <w:pPr>
      <w:spacing w:after="0" w:line="240" w:lineRule="auto"/>
    </w:pPr>
    <w:tblPr>
      <w:tblBorders>
        <w:top w:val="single" w:color="F79646" w:themeColor="accent6" w:sz="4" w:space="0"/>
        <w:left w:val="single" w:color="F79646" w:themeColor="accent6" w:sz="4" w:space="0"/>
        <w:bottom w:val="single" w:color="F79646" w:themeColor="accent6" w:sz="4" w:space="0"/>
        <w:right w:val="single" w:color="F79646" w:themeColor="accent6" w:sz="4" w:space="0"/>
        <w:insideH w:val="single" w:color="F79646" w:themeColor="accent6" w:sz="4" w:space="0"/>
        <w:insideV w:val="single" w:color="F79646" w:themeColor="accent6" w:sz="4" w:space="0"/>
      </w:tblBorders>
    </w:tblPr>
    <w:tblStylePr w:type="firstRow">
      <w:rPr>
        <w:b/>
        <w:color w:val="266778" w:themeColor="accent5" w:themeShade="94"/>
      </w:rPr>
      <w:tcPr>
        <w:tcBorders>
          <w:bottom w:val="single" w:color="F79646" w:themeColor="accent6" w:sz="12" w:space="0"/>
        </w:tcBorders>
      </w:tcPr>
    </w:tblStylePr>
    <w:tblStylePr w:type="lastRow">
      <w:rPr>
        <w:b/>
        <w:color w:val="266778" w:themeColor="accent5" w:themeShade="94"/>
      </w:rPr>
    </w:tblStylePr>
    <w:tblStylePr w:type="firstCol">
      <w:rPr>
        <w:b/>
        <w:color w:val="266778" w:themeColor="accent5" w:themeShade="94"/>
      </w:rPr>
    </w:tblStylePr>
    <w:tblStylePr w:type="lastCol">
      <w:rPr>
        <w:b/>
        <w:color w:val="266778" w:themeColor="accent5" w:themeShade="94"/>
      </w:rPr>
    </w:tblStylePr>
    <w:tblStylePr w:type="band1Vert">
      <w:tcPr>
        <w:shd w:val="clear" w:color="FDE9D9" w:themeColor="accent6" w:themeTint="34" w:fill="FDE9D9" w:themeFill="accent6" w:themeFillTint="34"/>
      </w:tcPr>
    </w:tblStylePr>
    <w:tblStylePr w:type="band1Horz">
      <w:rPr>
        <w:rFonts w:ascii="Arial" w:hAnsi="Arial"/>
        <w:color w:val="266778" w:themeColor="accent5" w:themeShade="94"/>
        <w:sz w:val="22"/>
      </w:rPr>
      <w:tcPr>
        <w:shd w:val="clear" w:color="FDE9D9" w:themeColor="accent6" w:themeTint="34" w:fill="FDE9D9" w:themeFill="accent6" w:themeFillTint="34"/>
      </w:tcPr>
    </w:tblStylePr>
    <w:tblStylePr w:type="band2Horz">
      <w:rPr>
        <w:rFonts w:ascii="Arial" w:hAnsi="Arial"/>
        <w:color w:val="266778" w:themeColor="accent5" w:themeShade="94"/>
        <w:sz w:val="22"/>
      </w:rPr>
    </w:tblStylePr>
  </w:style>
  <w:style w:type="table" w:customStyle="1" w:styleId="109">
    <w:name w:val="Grid Table 7 Colorful"/>
    <w:autoRedefine/>
    <w:qFormat/>
    <w:uiPriority w:val="99"/>
    <w:pPr>
      <w:spacing w:after="0" w:line="240" w:lineRule="auto"/>
    </w:pPr>
    <w:tblPr>
      <w:tblBorders>
        <w:bottom w:val="single" w:color="7E7E7E" w:themeColor="text1" w:themeTint="80" w:sz="4" w:space="0"/>
        <w:right w:val="single" w:color="7E7E7E" w:themeColor="text1" w:themeTint="80" w:sz="4" w:space="0"/>
        <w:insideH w:val="single" w:color="7E7E7E" w:themeColor="text1" w:themeTint="80" w:sz="4" w:space="0"/>
        <w:insideV w:val="single" w:color="7E7E7E" w:themeColor="text1" w:themeTint="80" w:sz="4" w:space="0"/>
      </w:tblBorders>
    </w:tblPr>
    <w:tblStylePr w:type="firstRow">
      <w:rPr>
        <w:rFonts w:ascii="Arial" w:hAnsi="Arial"/>
        <w:b/>
        <w:color w:val="808080" w:themeColor="text1" w:themeTint="80"/>
        <w:sz w:val="22"/>
        <w14:textFill>
          <w14:solidFill>
            <w14:schemeClr w14:val="tx1">
              <w14:lumMod w14:val="50000"/>
              <w14:lumOff w14:val="50000"/>
            </w14:schemeClr>
          </w14:solidFill>
        </w14:textFill>
      </w:rPr>
      <w:tcPr>
        <w:tcBorders>
          <w:top w:val="nil"/>
          <w:left w:val="nil"/>
          <w:bottom w:val="single" w:color="7E7E7E" w:themeColor="text1" w:themeTint="80" w:sz="4" w:space="0"/>
          <w:right w:val="nil"/>
        </w:tcBorders>
        <w:shd w:val="clear" w:color="FFFFFF" w:themeColor="light1" w:fill="FFFFFF" w:themeFill="light1"/>
      </w:tcPr>
    </w:tblStylePr>
    <w:tblStylePr w:type="lastRow">
      <w:rPr>
        <w:rFonts w:ascii="Arial" w:hAnsi="Arial"/>
        <w:b/>
        <w:color w:val="808080" w:themeColor="text1" w:themeTint="80"/>
        <w:sz w:val="22"/>
        <w14:textFill>
          <w14:solidFill>
            <w14:schemeClr w14:val="tx1">
              <w14:lumMod w14:val="50000"/>
              <w14:lumOff w14:val="50000"/>
            </w14:schemeClr>
          </w14:solidFill>
        </w14:textFill>
      </w:rPr>
      <w:tcPr>
        <w:tcBorders>
          <w:top w:val="single" w:color="7E7E7E" w:themeColor="text1" w:themeTint="80" w:sz="4" w:space="0"/>
          <w:left w:val="nil"/>
          <w:bottom w:val="nil"/>
          <w:right w:val="nil"/>
        </w:tcBorders>
        <w:shd w:val="clear" w:color="FFFFFF" w:themeColor="light1" w:fill="FFFFFF" w:themeFill="light1"/>
      </w:tcPr>
    </w:tblStylePr>
    <w:tblStylePr w:type="firstCol">
      <w:pPr>
        <w:jc w:val="right"/>
      </w:pPr>
      <w:rPr>
        <w:rFonts w:ascii="Arial" w:hAnsi="Arial"/>
        <w:i/>
        <w:color w:val="808080" w:themeColor="text1" w:themeTint="80"/>
        <w:sz w:val="22"/>
        <w14:textFill>
          <w14:solidFill>
            <w14:schemeClr w14:val="tx1">
              <w14:lumMod w14:val="50000"/>
              <w14:lumOff w14:val="50000"/>
            </w14:schemeClr>
          </w14:solidFill>
        </w14:textFill>
      </w:rPr>
      <w:tcPr>
        <w:tcBorders>
          <w:top w:val="nil"/>
          <w:left w:val="nil"/>
          <w:bottom w:val="nil"/>
          <w:right w:val="single" w:color="7E7E7E" w:themeColor="text1" w:themeTint="80" w:sz="4" w:space="0"/>
        </w:tcBorders>
        <w:shd w:val="clear" w:color="FFFFFF" w:fill="auto"/>
      </w:tcPr>
    </w:tblStylePr>
    <w:tblStylePr w:type="lastCol">
      <w:rPr>
        <w:rFonts w:ascii="Arial" w:hAnsi="Arial"/>
        <w:i/>
        <w:color w:val="808080" w:themeColor="text1" w:themeTint="80"/>
        <w:sz w:val="22"/>
        <w14:textFill>
          <w14:solidFill>
            <w14:schemeClr w14:val="tx1">
              <w14:lumMod w14:val="50000"/>
              <w14:lumOff w14:val="50000"/>
            </w14:schemeClr>
          </w14:solidFill>
        </w14:textFill>
      </w:rPr>
      <w:tcPr>
        <w:tcBorders>
          <w:top w:val="nil"/>
          <w:left w:val="single" w:color="7E7E7E" w:themeColor="text1" w:themeTint="80" w:sz="4" w:space="0"/>
          <w:bottom w:val="nil"/>
          <w:right w:val="nil"/>
        </w:tcBorders>
        <w:shd w:val="clear" w:color="FFFFFF" w:fill="auto"/>
      </w:tcPr>
    </w:tblStylePr>
    <w:tblStylePr w:type="band1Vert">
      <w:tcPr>
        <w:shd w:val="clear" w:color="F1F1F1" w:themeColor="text1" w:themeTint="0D" w:fill="F1F1F1" w:themeFill="text1" w:themeFillTint="0D"/>
      </w:tcPr>
    </w:tblStylePr>
    <w:tblStylePr w:type="band1Horz">
      <w:rPr>
        <w:rFonts w:ascii="Arial" w:hAnsi="Arial"/>
        <w:color w:val="808080" w:themeColor="text1" w:themeTint="80"/>
        <w:sz w:val="22"/>
        <w14:textFill>
          <w14:solidFill>
            <w14:schemeClr w14:val="tx1">
              <w14:lumMod w14:val="50000"/>
              <w14:lumOff w14:val="50000"/>
            </w14:schemeClr>
          </w14:solidFill>
        </w14:textFill>
      </w:rPr>
      <w:tcPr>
        <w:shd w:val="clear" w:color="F1F1F1" w:themeColor="text1" w:themeTint="0D" w:fill="F1F1F1" w:themeFill="text1" w:themeFillTint="0D"/>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style>
  <w:style w:type="table" w:customStyle="1" w:styleId="110">
    <w:name w:val="Grid Table 7 Colorful - Accent 1"/>
    <w:autoRedefine/>
    <w:qFormat/>
    <w:uiPriority w:val="99"/>
    <w:pPr>
      <w:spacing w:after="0" w:line="240" w:lineRule="auto"/>
    </w:pPr>
    <w:tblPr>
      <w:tblBorders>
        <w:bottom w:val="single" w:color="A6BFDD" w:themeColor="accent1" w:themeTint="80" w:sz="4" w:space="0"/>
        <w:right w:val="single" w:color="A6BFDD" w:themeColor="accent1" w:themeTint="80" w:sz="4" w:space="0"/>
        <w:insideH w:val="single" w:color="A6BFDD" w:themeColor="accent1" w:themeTint="80" w:sz="4" w:space="0"/>
        <w:insideV w:val="single" w:color="A6BFDD" w:themeColor="accent1" w:themeTint="80" w:sz="4" w:space="0"/>
      </w:tblBorders>
    </w:tblPr>
    <w:tblStylePr w:type="firstRow">
      <w:rPr>
        <w:rFonts w:ascii="Arial" w:hAnsi="Arial"/>
        <w:b/>
        <w:color w:val="A7C0DE" w:themeColor="accent1" w:themeTint="80"/>
        <w:sz w:val="22"/>
        <w14:textFill>
          <w14:solidFill>
            <w14:schemeClr w14:val="accent1">
              <w14:lumMod w14:val="50000"/>
              <w14:lumOff w14:val="50000"/>
            </w14:schemeClr>
          </w14:solidFill>
        </w14:textFill>
      </w:rPr>
      <w:tcPr>
        <w:tcBorders>
          <w:top w:val="nil"/>
          <w:left w:val="nil"/>
          <w:bottom w:val="single" w:color="A6BFDD" w:themeColor="accent1" w:themeTint="80" w:sz="4" w:space="0"/>
          <w:right w:val="nil"/>
        </w:tcBorders>
        <w:shd w:val="clear" w:color="FFFFFF" w:themeColor="light1" w:fill="FFFFFF" w:themeFill="light1"/>
      </w:tcPr>
    </w:tblStylePr>
    <w:tblStylePr w:type="lastRow">
      <w:rPr>
        <w:rFonts w:ascii="Arial" w:hAnsi="Arial"/>
        <w:b/>
        <w:color w:val="A7C0DE" w:themeColor="accent1" w:themeTint="80"/>
        <w:sz w:val="22"/>
        <w14:textFill>
          <w14:solidFill>
            <w14:schemeClr w14:val="accent1">
              <w14:lumMod w14:val="50000"/>
              <w14:lumOff w14:val="50000"/>
            </w14:schemeClr>
          </w14:solidFill>
        </w14:textFill>
      </w:rPr>
      <w:tcPr>
        <w:tcBorders>
          <w:top w:val="single" w:color="A6BFDD" w:themeColor="accent1" w:themeTint="80" w:sz="4" w:space="0"/>
          <w:left w:val="nil"/>
          <w:bottom w:val="nil"/>
          <w:right w:val="nil"/>
        </w:tcBorders>
        <w:shd w:val="clear" w:color="FFFFFF" w:themeColor="light1" w:fill="FFFFFF" w:themeFill="light1"/>
      </w:tcPr>
    </w:tblStylePr>
    <w:tblStylePr w:type="firstCol">
      <w:pPr>
        <w:jc w:val="right"/>
      </w:pPr>
      <w:rPr>
        <w:rFonts w:ascii="Arial" w:hAnsi="Arial"/>
        <w:i/>
        <w:color w:val="A7C0DE" w:themeColor="accent1" w:themeTint="80"/>
        <w:sz w:val="22"/>
        <w14:textFill>
          <w14:solidFill>
            <w14:schemeClr w14:val="accent1">
              <w14:lumMod w14:val="50000"/>
              <w14:lumOff w14:val="50000"/>
            </w14:schemeClr>
          </w14:solidFill>
        </w14:textFill>
      </w:rPr>
      <w:tcPr>
        <w:tcBorders>
          <w:top w:val="nil"/>
          <w:left w:val="nil"/>
          <w:bottom w:val="nil"/>
          <w:right w:val="single" w:color="A6BFDD" w:themeColor="accent1" w:themeTint="80" w:sz="4" w:space="0"/>
        </w:tcBorders>
        <w:shd w:val="clear" w:color="FFFFFF" w:fill="auto"/>
      </w:tcPr>
    </w:tblStylePr>
    <w:tblStylePr w:type="lastCol">
      <w:rPr>
        <w:rFonts w:ascii="Arial" w:hAnsi="Arial"/>
        <w:i/>
        <w:color w:val="A7C0DE" w:themeColor="accent1" w:themeTint="80"/>
        <w:sz w:val="22"/>
        <w14:textFill>
          <w14:solidFill>
            <w14:schemeClr w14:val="accent1">
              <w14:lumMod w14:val="50000"/>
              <w14:lumOff w14:val="50000"/>
            </w14:schemeClr>
          </w14:solidFill>
        </w14:textFill>
      </w:rPr>
      <w:tcPr>
        <w:tcBorders>
          <w:top w:val="nil"/>
          <w:left w:val="single" w:color="A6BFDD" w:themeColor="accent1" w:themeTint="80" w:sz="4" w:space="0"/>
          <w:bottom w:val="nil"/>
          <w:right w:val="nil"/>
        </w:tcBorders>
        <w:shd w:val="clear" w:color="FFFFFF" w:fill="auto"/>
      </w:tcPr>
    </w:tblStylePr>
    <w:tblStylePr w:type="band1Vert">
      <w:tcPr>
        <w:shd w:val="clear" w:color="DBE5F1" w:themeColor="accent1" w:themeTint="34" w:fill="DBE5F1" w:themeFill="accent1" w:themeFillTint="34"/>
      </w:tcPr>
    </w:tblStylePr>
    <w:tblStylePr w:type="band1Horz">
      <w:rPr>
        <w:rFonts w:ascii="Arial" w:hAnsi="Arial"/>
        <w:color w:val="A7C0DE" w:themeColor="accent1" w:themeTint="80"/>
        <w:sz w:val="22"/>
        <w14:textFill>
          <w14:solidFill>
            <w14:schemeClr w14:val="accent1">
              <w14:lumMod w14:val="50000"/>
              <w14:lumOff w14:val="50000"/>
            </w14:schemeClr>
          </w14:solidFill>
        </w14:textFill>
      </w:rPr>
      <w:tcPr>
        <w:shd w:val="clear" w:color="DBE5F1" w:themeColor="accent1" w:themeTint="34" w:fill="DBE5F1" w:themeFill="accent1" w:themeFillTint="34"/>
      </w:tcPr>
    </w:tblStylePr>
    <w:tblStylePr w:type="band2Horz">
      <w:rPr>
        <w:rFonts w:ascii="Arial" w:hAnsi="Arial"/>
        <w:color w:val="A7C0DE" w:themeColor="accent1" w:themeTint="80"/>
        <w:sz w:val="22"/>
        <w14:textFill>
          <w14:solidFill>
            <w14:schemeClr w14:val="accent1">
              <w14:lumMod w14:val="50000"/>
              <w14:lumOff w14:val="50000"/>
            </w14:schemeClr>
          </w14:solidFill>
        </w14:textFill>
      </w:rPr>
    </w:tblStylePr>
  </w:style>
  <w:style w:type="table" w:customStyle="1" w:styleId="111">
    <w:name w:val="Grid Table 7 Colorful - Accent 2"/>
    <w:autoRedefine/>
    <w:qFormat/>
    <w:uiPriority w:val="99"/>
    <w:pPr>
      <w:spacing w:after="0" w:line="240" w:lineRule="auto"/>
    </w:pPr>
    <w:tblPr>
      <w:tblBorders>
        <w:bottom w:val="single" w:color="D99795" w:themeColor="accent2" w:themeTint="97" w:sz="4" w:space="0"/>
        <w:right w:val="single" w:color="D99795" w:themeColor="accent2" w:themeTint="97" w:sz="4" w:space="0"/>
        <w:insideH w:val="single" w:color="D99795" w:themeColor="accent2" w:themeTint="97" w:sz="4" w:space="0"/>
        <w:insideV w:val="single" w:color="D99795" w:themeColor="accent2" w:themeTint="97" w:sz="4" w:space="0"/>
      </w:tblBorders>
    </w:tblPr>
    <w:tblStylePr w:type="firstRow">
      <w:rPr>
        <w:rFonts w:ascii="Arial" w:hAnsi="Arial"/>
        <w:b/>
        <w:color w:val="DA9896" w:themeColor="accent2" w:themeTint="96"/>
        <w:sz w:val="22"/>
        <w14:textFill>
          <w14:solidFill>
            <w14:schemeClr w14:val="accent2">
              <w14:lumMod w14:val="59000"/>
              <w14:lumOff w14:val="41000"/>
            </w14:schemeClr>
          </w14:solidFill>
        </w14:textFill>
      </w:rPr>
      <w:tcPr>
        <w:tcBorders>
          <w:top w:val="nil"/>
          <w:left w:val="nil"/>
          <w:bottom w:val="single" w:color="D99795" w:themeColor="accent2" w:themeTint="97" w:sz="4" w:space="0"/>
          <w:right w:val="nil"/>
        </w:tcBorders>
        <w:shd w:val="clear" w:color="FFFFFF" w:themeColor="light1" w:fill="FFFFFF" w:themeFill="light1"/>
      </w:tcPr>
    </w:tblStylePr>
    <w:tblStylePr w:type="lastRow">
      <w:rPr>
        <w:rFonts w:ascii="Arial" w:hAnsi="Arial"/>
        <w:b/>
        <w:color w:val="DA9896" w:themeColor="accent2" w:themeTint="96"/>
        <w:sz w:val="22"/>
        <w14:textFill>
          <w14:solidFill>
            <w14:schemeClr w14:val="accent2">
              <w14:lumMod w14:val="59000"/>
              <w14:lumOff w14:val="41000"/>
            </w14:schemeClr>
          </w14:solidFill>
        </w14:textFill>
      </w:rPr>
      <w:tcPr>
        <w:tcBorders>
          <w:top w:val="single" w:color="D99795" w:themeColor="accent2" w:themeTint="97" w:sz="4" w:space="0"/>
          <w:left w:val="nil"/>
          <w:bottom w:val="nil"/>
          <w:right w:val="nil"/>
        </w:tcBorders>
        <w:shd w:val="clear" w:color="FFFFFF" w:themeColor="light1" w:fill="FFFFFF" w:themeFill="light1"/>
      </w:tcPr>
    </w:tblStylePr>
    <w:tblStylePr w:type="firstCol">
      <w:pPr>
        <w:jc w:val="right"/>
      </w:pPr>
      <w:rPr>
        <w:rFonts w:ascii="Arial" w:hAnsi="Arial"/>
        <w:i/>
        <w:color w:val="DA9896" w:themeColor="accent2" w:themeTint="96"/>
        <w:sz w:val="22"/>
        <w14:textFill>
          <w14:solidFill>
            <w14:schemeClr w14:val="accent2">
              <w14:lumMod w14:val="59000"/>
              <w14:lumOff w14:val="41000"/>
            </w14:schemeClr>
          </w14:solidFill>
        </w14:textFill>
      </w:rPr>
      <w:tcPr>
        <w:tcBorders>
          <w:top w:val="nil"/>
          <w:left w:val="nil"/>
          <w:bottom w:val="nil"/>
          <w:right w:val="single" w:color="D99795" w:themeColor="accent2" w:themeTint="97" w:sz="4" w:space="0"/>
        </w:tcBorders>
        <w:shd w:val="clear" w:color="FFFFFF" w:fill="auto"/>
      </w:tcPr>
    </w:tblStylePr>
    <w:tblStylePr w:type="lastCol">
      <w:rPr>
        <w:rFonts w:ascii="Arial" w:hAnsi="Arial"/>
        <w:i/>
        <w:color w:val="DA9896" w:themeColor="accent2" w:themeTint="96"/>
        <w:sz w:val="22"/>
        <w14:textFill>
          <w14:solidFill>
            <w14:schemeClr w14:val="accent2">
              <w14:lumMod w14:val="59000"/>
              <w14:lumOff w14:val="41000"/>
            </w14:schemeClr>
          </w14:solidFill>
        </w14:textFill>
      </w:rPr>
      <w:tcPr>
        <w:tcBorders>
          <w:top w:val="nil"/>
          <w:left w:val="single" w:color="D99795" w:themeColor="accent2" w:themeTint="97" w:sz="4" w:space="0"/>
          <w:bottom w:val="nil"/>
          <w:right w:val="nil"/>
        </w:tcBorders>
        <w:shd w:val="clear" w:color="FFFFFF" w:fill="auto"/>
      </w:tcPr>
    </w:tblStylePr>
    <w:tblStylePr w:type="band1Vert">
      <w:tcPr>
        <w:shd w:val="clear" w:color="F2DCDC" w:themeColor="accent2" w:themeTint="32" w:fill="F2DCDC" w:themeFill="accent2" w:themeFillTint="32"/>
      </w:tcPr>
    </w:tblStylePr>
    <w:tblStylePr w:type="band1Horz">
      <w:rPr>
        <w:rFonts w:ascii="Arial" w:hAnsi="Arial"/>
        <w:color w:val="DA9896" w:themeColor="accent2" w:themeTint="96"/>
        <w:sz w:val="22"/>
        <w14:textFill>
          <w14:solidFill>
            <w14:schemeClr w14:val="accent2">
              <w14:lumMod w14:val="59000"/>
              <w14:lumOff w14:val="41000"/>
            </w14:schemeClr>
          </w14:solidFill>
        </w14:textFill>
      </w:rPr>
      <w:tcPr>
        <w:shd w:val="clear" w:color="F2DCDC" w:themeColor="accent2" w:themeTint="32" w:fill="F2DCDC" w:themeFill="accent2" w:themeFillTint="32"/>
      </w:tcPr>
    </w:tblStylePr>
    <w:tblStylePr w:type="band2Horz">
      <w:rPr>
        <w:rFonts w:ascii="Arial" w:hAnsi="Arial"/>
        <w:color w:val="DA9896" w:themeColor="accent2" w:themeTint="96"/>
        <w:sz w:val="22"/>
        <w14:textFill>
          <w14:solidFill>
            <w14:schemeClr w14:val="accent2">
              <w14:lumMod w14:val="59000"/>
              <w14:lumOff w14:val="41000"/>
            </w14:schemeClr>
          </w14:solidFill>
        </w14:textFill>
      </w:rPr>
    </w:tblStylePr>
  </w:style>
  <w:style w:type="table" w:customStyle="1" w:styleId="112">
    <w:name w:val="Grid Table 7 Colorful - Accent 3"/>
    <w:autoRedefine/>
    <w:qFormat/>
    <w:uiPriority w:val="99"/>
    <w:pPr>
      <w:spacing w:after="0" w:line="240" w:lineRule="auto"/>
    </w:pPr>
    <w:tblPr>
      <w:tblBorders>
        <w:bottom w:val="single" w:color="9BBB59" w:themeColor="accent3" w:themeTint="FE" w:sz="4" w:space="0"/>
        <w:right w:val="single" w:color="9BBB59" w:themeColor="accent3" w:themeTint="FE" w:sz="4" w:space="0"/>
        <w:insideH w:val="single" w:color="9BBB59" w:themeColor="accent3" w:themeTint="FE" w:sz="4" w:space="0"/>
        <w:insideV w:val="single" w:color="9BBB59" w:themeColor="accent3" w:themeTint="FE" w:sz="4" w:space="0"/>
      </w:tblBorders>
    </w:tblPr>
    <w:tblStylePr w:type="firstRow">
      <w:rPr>
        <w:rFonts w:ascii="Arial" w:hAnsi="Arial"/>
        <w:b/>
        <w:color w:val="9BBB59" w:themeColor="accent3" w:themeTint="FF"/>
        <w:sz w:val="22"/>
        <w14:textFill>
          <w14:solidFill>
            <w14:schemeClr w14:val="accent3">
              <w14:lumMod w14:val="100000"/>
              <w14:lumOff w14:val="0"/>
            </w14:schemeClr>
          </w14:solidFill>
        </w14:textFill>
      </w:rPr>
      <w:tcPr>
        <w:tcBorders>
          <w:top w:val="nil"/>
          <w:left w:val="nil"/>
          <w:bottom w:val="single" w:color="9BBB59" w:themeColor="accent3" w:themeTint="FE" w:sz="4" w:space="0"/>
          <w:right w:val="nil"/>
        </w:tcBorders>
        <w:shd w:val="clear" w:color="FFFFFF" w:themeColor="light1" w:fill="FFFFFF" w:themeFill="light1"/>
      </w:tcPr>
    </w:tblStylePr>
    <w:tblStylePr w:type="lastRow">
      <w:rPr>
        <w:rFonts w:ascii="Arial" w:hAnsi="Arial"/>
        <w:b/>
        <w:color w:val="9BBB59" w:themeColor="accent3" w:themeTint="FF"/>
        <w:sz w:val="22"/>
        <w14:textFill>
          <w14:solidFill>
            <w14:schemeClr w14:val="accent3">
              <w14:lumMod w14:val="100000"/>
              <w14:lumOff w14:val="0"/>
            </w14:schemeClr>
          </w14:solidFill>
        </w14:textFill>
      </w:rPr>
      <w:tcPr>
        <w:tcBorders>
          <w:top w:val="single" w:color="9BBB59" w:themeColor="accent3" w:themeTint="FE" w:sz="4" w:space="0"/>
          <w:left w:val="nil"/>
          <w:bottom w:val="nil"/>
          <w:right w:val="nil"/>
        </w:tcBorders>
        <w:shd w:val="clear" w:color="FFFFFF" w:themeColor="light1" w:fill="FFFFFF" w:themeFill="light1"/>
      </w:tcPr>
    </w:tblStylePr>
    <w:tblStylePr w:type="firstCol">
      <w:pPr>
        <w:jc w:val="right"/>
      </w:pPr>
      <w:rPr>
        <w:rFonts w:ascii="Arial" w:hAnsi="Arial"/>
        <w:i/>
        <w:color w:val="9BBB59" w:themeColor="accent3" w:themeTint="FF"/>
        <w:sz w:val="22"/>
        <w14:textFill>
          <w14:solidFill>
            <w14:schemeClr w14:val="accent3">
              <w14:lumMod w14:val="100000"/>
              <w14:lumOff w14:val="0"/>
            </w14:schemeClr>
          </w14:solidFill>
        </w14:textFill>
      </w:rPr>
      <w:tcPr>
        <w:tcBorders>
          <w:top w:val="nil"/>
          <w:left w:val="nil"/>
          <w:bottom w:val="nil"/>
          <w:right w:val="single" w:color="9BBB59" w:themeColor="accent3" w:themeTint="FE" w:sz="4" w:space="0"/>
        </w:tcBorders>
        <w:shd w:val="clear" w:color="FFFFFF" w:fill="auto"/>
      </w:tcPr>
    </w:tblStylePr>
    <w:tblStylePr w:type="lastCol">
      <w:rPr>
        <w:rFonts w:ascii="Arial" w:hAnsi="Arial"/>
        <w:i/>
        <w:color w:val="9BBB59" w:themeColor="accent3" w:themeTint="FF"/>
        <w:sz w:val="22"/>
        <w14:textFill>
          <w14:solidFill>
            <w14:schemeClr w14:val="accent3">
              <w14:lumMod w14:val="100000"/>
              <w14:lumOff w14:val="0"/>
            </w14:schemeClr>
          </w14:solidFill>
        </w14:textFill>
      </w:rPr>
      <w:tcPr>
        <w:tcBorders>
          <w:top w:val="nil"/>
          <w:left w:val="single" w:color="9BBB59" w:themeColor="accent3" w:themeTint="FE" w:sz="4" w:space="0"/>
          <w:bottom w:val="nil"/>
          <w:right w:val="nil"/>
        </w:tcBorders>
        <w:shd w:val="clear" w:color="FFFFFF" w:fill="auto"/>
      </w:tcPr>
    </w:tblStylePr>
    <w:tblStylePr w:type="band1Vert">
      <w:tcPr>
        <w:shd w:val="clear" w:color="EAF1DD" w:themeColor="accent3" w:themeTint="34" w:fill="EAF1DD" w:themeFill="accent3" w:themeFillTint="34"/>
      </w:tcPr>
    </w:tblStylePr>
    <w:tblStylePr w:type="band1Horz">
      <w:rPr>
        <w:rFonts w:ascii="Arial" w:hAnsi="Arial"/>
        <w:color w:val="9BBB59" w:themeColor="accent3" w:themeTint="FF"/>
        <w:sz w:val="22"/>
        <w14:textFill>
          <w14:solidFill>
            <w14:schemeClr w14:val="accent3">
              <w14:lumMod w14:val="100000"/>
              <w14:lumOff w14:val="0"/>
            </w14:schemeClr>
          </w14:solidFill>
        </w14:textFill>
      </w:rPr>
      <w:tcPr>
        <w:shd w:val="clear" w:color="EAF1DD" w:themeColor="accent3" w:themeTint="34" w:fill="EAF1DD" w:themeFill="accent3" w:themeFillTint="34"/>
      </w:tcPr>
    </w:tblStylePr>
    <w:tblStylePr w:type="band2Horz">
      <w:rPr>
        <w:rFonts w:ascii="Arial" w:hAnsi="Arial"/>
        <w:color w:val="9BBB59" w:themeColor="accent3" w:themeTint="FF"/>
        <w:sz w:val="22"/>
        <w14:textFill>
          <w14:solidFill>
            <w14:schemeClr w14:val="accent3">
              <w14:lumMod w14:val="100000"/>
              <w14:lumOff w14:val="0"/>
            </w14:schemeClr>
          </w14:solidFill>
        </w14:textFill>
      </w:rPr>
    </w:tblStylePr>
  </w:style>
  <w:style w:type="table" w:customStyle="1" w:styleId="113">
    <w:name w:val="Grid Table 7 Colorful - Accent 4"/>
    <w:autoRedefine/>
    <w:qFormat/>
    <w:uiPriority w:val="99"/>
    <w:pPr>
      <w:spacing w:after="0" w:line="240" w:lineRule="auto"/>
    </w:pPr>
    <w:tblPr>
      <w:tblBorders>
        <w:bottom w:val="single" w:color="B2A1C6" w:themeColor="accent4" w:themeTint="9A" w:sz="4" w:space="0"/>
        <w:right w:val="single" w:color="B2A1C6" w:themeColor="accent4" w:themeTint="9A" w:sz="4" w:space="0"/>
        <w:insideH w:val="single" w:color="B2A1C6" w:themeColor="accent4" w:themeTint="9A" w:sz="4" w:space="0"/>
        <w:insideV w:val="single" w:color="B2A1C6" w:themeColor="accent4" w:themeTint="9A" w:sz="4" w:space="0"/>
      </w:tblBorders>
    </w:tblPr>
    <w:tblStylePr w:type="firstRow">
      <w:rPr>
        <w:rFonts w:ascii="Arial" w:hAnsi="Arial"/>
        <w:b/>
        <w:color w:val="B3A2C7" w:themeColor="accent4" w:themeTint="99"/>
        <w:sz w:val="22"/>
        <w14:textFill>
          <w14:solidFill>
            <w14:schemeClr w14:val="accent4">
              <w14:lumMod w14:val="60000"/>
              <w14:lumOff w14:val="40000"/>
            </w14:schemeClr>
          </w14:solidFill>
        </w14:textFill>
      </w:rPr>
      <w:tcPr>
        <w:tcBorders>
          <w:top w:val="nil"/>
          <w:left w:val="nil"/>
          <w:bottom w:val="single" w:color="B2A1C6" w:themeColor="accent4" w:themeTint="9A" w:sz="4" w:space="0"/>
          <w:right w:val="nil"/>
        </w:tcBorders>
        <w:shd w:val="clear" w:color="FFFFFF" w:themeColor="light1" w:fill="FFFFFF" w:themeFill="light1"/>
      </w:tcPr>
    </w:tblStylePr>
    <w:tblStylePr w:type="lastRow">
      <w:rPr>
        <w:rFonts w:ascii="Arial" w:hAnsi="Arial"/>
        <w:b/>
        <w:color w:val="B3A2C7" w:themeColor="accent4" w:themeTint="99"/>
        <w:sz w:val="22"/>
        <w14:textFill>
          <w14:solidFill>
            <w14:schemeClr w14:val="accent4">
              <w14:lumMod w14:val="60000"/>
              <w14:lumOff w14:val="40000"/>
            </w14:schemeClr>
          </w14:solidFill>
        </w14:textFill>
      </w:rPr>
      <w:tcPr>
        <w:tcBorders>
          <w:top w:val="single" w:color="B2A1C6" w:themeColor="accent4" w:themeTint="9A" w:sz="4" w:space="0"/>
          <w:left w:val="nil"/>
          <w:bottom w:val="nil"/>
          <w:right w:val="nil"/>
        </w:tcBorders>
        <w:shd w:val="clear" w:color="FFFFFF" w:themeColor="light1" w:fill="FFFFFF" w:themeFill="light1"/>
      </w:tcPr>
    </w:tblStylePr>
    <w:tblStylePr w:type="firstCol">
      <w:pPr>
        <w:jc w:val="right"/>
      </w:pPr>
      <w:rPr>
        <w:rFonts w:ascii="Arial" w:hAnsi="Arial"/>
        <w:i/>
        <w:color w:val="B3A2C7" w:themeColor="accent4" w:themeTint="99"/>
        <w:sz w:val="22"/>
        <w14:textFill>
          <w14:solidFill>
            <w14:schemeClr w14:val="accent4">
              <w14:lumMod w14:val="60000"/>
              <w14:lumOff w14:val="40000"/>
            </w14:schemeClr>
          </w14:solidFill>
        </w14:textFill>
      </w:rPr>
      <w:tcPr>
        <w:tcBorders>
          <w:top w:val="nil"/>
          <w:left w:val="nil"/>
          <w:bottom w:val="nil"/>
          <w:right w:val="single" w:color="B2A1C6" w:themeColor="accent4" w:themeTint="9A" w:sz="4" w:space="0"/>
        </w:tcBorders>
        <w:shd w:val="clear" w:color="FFFFFF" w:fill="auto"/>
      </w:tcPr>
    </w:tblStylePr>
    <w:tblStylePr w:type="lastCol">
      <w:rPr>
        <w:rFonts w:ascii="Arial" w:hAnsi="Arial"/>
        <w:i/>
        <w:color w:val="B3A2C7" w:themeColor="accent4" w:themeTint="99"/>
        <w:sz w:val="22"/>
        <w14:textFill>
          <w14:solidFill>
            <w14:schemeClr w14:val="accent4">
              <w14:lumMod w14:val="60000"/>
              <w14:lumOff w14:val="40000"/>
            </w14:schemeClr>
          </w14:solidFill>
        </w14:textFill>
      </w:rPr>
      <w:tcPr>
        <w:tcBorders>
          <w:top w:val="nil"/>
          <w:left w:val="single" w:color="B2A1C6" w:themeColor="accent4" w:themeTint="9A" w:sz="4" w:space="0"/>
          <w:bottom w:val="nil"/>
          <w:right w:val="nil"/>
        </w:tcBorders>
        <w:shd w:val="clear" w:color="FFFFFF" w:fill="auto"/>
      </w:tcPr>
    </w:tblStylePr>
    <w:tblStylePr w:type="band1Vert">
      <w:tcPr>
        <w:shd w:val="clear" w:color="E5DFEC" w:themeColor="accent4" w:themeTint="34" w:fill="E5DFEC" w:themeFill="accent4" w:themeFillTint="34"/>
      </w:tcPr>
    </w:tblStylePr>
    <w:tblStylePr w:type="band1Horz">
      <w:rPr>
        <w:rFonts w:ascii="Arial" w:hAnsi="Arial"/>
        <w:color w:val="B3A2C7" w:themeColor="accent4" w:themeTint="99"/>
        <w:sz w:val="22"/>
        <w14:textFill>
          <w14:solidFill>
            <w14:schemeClr w14:val="accent4">
              <w14:lumMod w14:val="60000"/>
              <w14:lumOff w14:val="40000"/>
            </w14:schemeClr>
          </w14:solidFill>
        </w14:textFill>
      </w:rPr>
      <w:tcPr>
        <w:shd w:val="clear" w:color="E5DFEC" w:themeColor="accent4" w:themeTint="34" w:fill="E5DFEC" w:themeFill="accent4" w:themeFillTint="34"/>
      </w:tcPr>
    </w:tblStylePr>
    <w:tblStylePr w:type="band2Horz">
      <w:rPr>
        <w:rFonts w:ascii="Arial" w:hAnsi="Arial"/>
        <w:color w:val="B3A2C7" w:themeColor="accent4" w:themeTint="99"/>
        <w:sz w:val="22"/>
        <w14:textFill>
          <w14:solidFill>
            <w14:schemeClr w14:val="accent4">
              <w14:lumMod w14:val="60000"/>
              <w14:lumOff w14:val="40000"/>
            </w14:schemeClr>
          </w14:solidFill>
        </w14:textFill>
      </w:rPr>
    </w:tblStylePr>
  </w:style>
  <w:style w:type="table" w:customStyle="1" w:styleId="114">
    <w:name w:val="Grid Table 7 Colorful - Accent 5"/>
    <w:autoRedefine/>
    <w:qFormat/>
    <w:uiPriority w:val="99"/>
    <w:pPr>
      <w:spacing w:after="0" w:line="240" w:lineRule="auto"/>
    </w:pPr>
    <w:tblPr>
      <w:tblBorders>
        <w:bottom w:val="single" w:color="99D0DE" w:themeColor="accent5" w:themeTint="90" w:sz="4" w:space="0"/>
        <w:right w:val="single" w:color="99D0DE" w:themeColor="accent5" w:themeTint="90" w:sz="4" w:space="0"/>
        <w:insideH w:val="single" w:color="99D0DE" w:themeColor="accent5" w:themeTint="90" w:sz="4" w:space="0"/>
        <w:insideV w:val="single" w:color="99D0DE" w:themeColor="accent5" w:themeTint="90" w:sz="4" w:space="0"/>
      </w:tblBorders>
    </w:tblPr>
    <w:tblStylePr w:type="firstRow">
      <w:rPr>
        <w:rFonts w:ascii="Arial" w:hAnsi="Arial"/>
        <w:b/>
        <w:color w:val="266778" w:themeColor="accent5" w:themeShade="94"/>
        <w:sz w:val="22"/>
      </w:rPr>
      <w:tcPr>
        <w:tcBorders>
          <w:top w:val="nil"/>
          <w:left w:val="nil"/>
          <w:bottom w:val="single" w:color="99D0DE" w:themeColor="accent5" w:themeTint="90" w:sz="4" w:space="0"/>
          <w:right w:val="nil"/>
        </w:tcBorders>
        <w:shd w:val="clear" w:color="FFFFFF" w:themeColor="light1" w:fill="FFFFFF" w:themeFill="light1"/>
      </w:tcPr>
    </w:tblStylePr>
    <w:tblStylePr w:type="lastRow">
      <w:rPr>
        <w:rFonts w:ascii="Arial" w:hAnsi="Arial"/>
        <w:b/>
        <w:color w:val="266778" w:themeColor="accent5" w:themeShade="94"/>
        <w:sz w:val="22"/>
      </w:rPr>
      <w:tcPr>
        <w:tcBorders>
          <w:top w:val="single" w:color="99D0DE" w:themeColor="accent5" w:themeTint="90" w:sz="4" w:space="0"/>
          <w:left w:val="nil"/>
          <w:bottom w:val="nil"/>
          <w:right w:val="nil"/>
        </w:tcBorders>
        <w:shd w:val="clear" w:color="FFFFFF" w:themeColor="light1" w:fill="FFFFFF" w:themeFill="light1"/>
      </w:tcPr>
    </w:tblStylePr>
    <w:tblStylePr w:type="firstCol">
      <w:pPr>
        <w:jc w:val="right"/>
      </w:pPr>
      <w:rPr>
        <w:rFonts w:ascii="Arial" w:hAnsi="Arial"/>
        <w:i/>
        <w:color w:val="266778" w:themeColor="accent5" w:themeShade="94"/>
        <w:sz w:val="22"/>
      </w:rPr>
      <w:tcPr>
        <w:tcBorders>
          <w:top w:val="nil"/>
          <w:left w:val="nil"/>
          <w:bottom w:val="nil"/>
          <w:right w:val="single" w:color="99D0DE" w:themeColor="accent5" w:themeTint="90" w:sz="4" w:space="0"/>
        </w:tcBorders>
        <w:shd w:val="clear" w:color="FFFFFF" w:fill="auto"/>
      </w:tcPr>
    </w:tblStylePr>
    <w:tblStylePr w:type="lastCol">
      <w:rPr>
        <w:rFonts w:ascii="Arial" w:hAnsi="Arial"/>
        <w:i/>
        <w:color w:val="266778" w:themeColor="accent5" w:themeShade="94"/>
        <w:sz w:val="22"/>
      </w:rPr>
      <w:tcPr>
        <w:tcBorders>
          <w:top w:val="nil"/>
          <w:left w:val="single" w:color="99D0DE" w:themeColor="accent5" w:themeTint="90" w:sz="4" w:space="0"/>
          <w:bottom w:val="nil"/>
          <w:right w:val="nil"/>
        </w:tcBorders>
        <w:shd w:val="clear" w:color="FFFFFF" w:fill="auto"/>
      </w:tcPr>
    </w:tblStylePr>
    <w:tblStylePr w:type="band1Vert">
      <w:tcPr>
        <w:shd w:val="clear" w:color="DAEEF3" w:themeColor="accent5" w:themeTint="34" w:fill="DAEEF3" w:themeFill="accent5" w:themeFillTint="34"/>
      </w:tcPr>
    </w:tblStylePr>
    <w:tblStylePr w:type="band1Horz">
      <w:rPr>
        <w:rFonts w:ascii="Arial" w:hAnsi="Arial"/>
        <w:color w:val="266778" w:themeColor="accent5" w:themeShade="94"/>
        <w:sz w:val="22"/>
      </w:rPr>
      <w:tcPr>
        <w:shd w:val="clear" w:color="DAEEF3" w:themeColor="accent5" w:themeTint="34" w:fill="DAEEF3" w:themeFill="accent5" w:themeFillTint="34"/>
      </w:tcPr>
    </w:tblStylePr>
    <w:tblStylePr w:type="band2Horz">
      <w:rPr>
        <w:rFonts w:ascii="Arial" w:hAnsi="Arial"/>
        <w:color w:val="266778" w:themeColor="accent5" w:themeShade="94"/>
        <w:sz w:val="22"/>
      </w:rPr>
    </w:tblStylePr>
  </w:style>
  <w:style w:type="table" w:customStyle="1" w:styleId="115">
    <w:name w:val="Grid Table 7 Colorful - Accent 6"/>
    <w:autoRedefine/>
    <w:qFormat/>
    <w:uiPriority w:val="99"/>
    <w:pPr>
      <w:spacing w:after="0" w:line="240" w:lineRule="auto"/>
    </w:pPr>
    <w:tblPr>
      <w:tblBorders>
        <w:bottom w:val="single" w:color="FAC396" w:themeColor="accent6" w:themeTint="90" w:sz="4" w:space="0"/>
        <w:right w:val="single" w:color="FAC396" w:themeColor="accent6" w:themeTint="90" w:sz="4" w:space="0"/>
        <w:insideH w:val="single" w:color="FAC396" w:themeColor="accent6" w:themeTint="90" w:sz="4" w:space="0"/>
        <w:insideV w:val="single" w:color="FAC396" w:themeColor="accent6" w:themeTint="90" w:sz="4" w:space="0"/>
      </w:tblBorders>
    </w:tblPr>
    <w:tblStylePr w:type="firstRow">
      <w:rPr>
        <w:rFonts w:ascii="Arial" w:hAnsi="Arial"/>
        <w:b/>
        <w:color w:val="B05408" w:themeColor="accent6" w:themeShade="94"/>
        <w:sz w:val="22"/>
      </w:rPr>
      <w:tcPr>
        <w:tcBorders>
          <w:top w:val="nil"/>
          <w:left w:val="nil"/>
          <w:bottom w:val="single" w:color="FAC396" w:themeColor="accent6" w:themeTint="90" w:sz="4" w:space="0"/>
          <w:right w:val="nil"/>
        </w:tcBorders>
        <w:shd w:val="clear" w:color="FFFFFF" w:themeColor="light1" w:fill="FFFFFF" w:themeFill="light1"/>
      </w:tcPr>
    </w:tblStylePr>
    <w:tblStylePr w:type="lastRow">
      <w:rPr>
        <w:rFonts w:ascii="Arial" w:hAnsi="Arial"/>
        <w:b/>
        <w:color w:val="B05408" w:themeColor="accent6" w:themeShade="94"/>
        <w:sz w:val="22"/>
      </w:rPr>
      <w:tcPr>
        <w:tcBorders>
          <w:top w:val="single" w:color="FAC396" w:themeColor="accent6" w:themeTint="90" w:sz="4" w:space="0"/>
          <w:left w:val="nil"/>
          <w:bottom w:val="nil"/>
          <w:right w:val="nil"/>
        </w:tcBorders>
        <w:shd w:val="clear" w:color="FFFFFF" w:themeColor="light1" w:fill="FFFFFF" w:themeFill="light1"/>
      </w:tcPr>
    </w:tblStylePr>
    <w:tblStylePr w:type="firstCol">
      <w:pPr>
        <w:jc w:val="right"/>
      </w:pPr>
      <w:rPr>
        <w:rFonts w:ascii="Arial" w:hAnsi="Arial"/>
        <w:i/>
        <w:color w:val="B05408" w:themeColor="accent6" w:themeShade="94"/>
        <w:sz w:val="22"/>
      </w:rPr>
      <w:tcPr>
        <w:tcBorders>
          <w:top w:val="nil"/>
          <w:left w:val="nil"/>
          <w:bottom w:val="nil"/>
          <w:right w:val="single" w:color="FAC396" w:themeColor="accent6" w:themeTint="90" w:sz="4" w:space="0"/>
        </w:tcBorders>
        <w:shd w:val="clear" w:color="FFFFFF" w:fill="auto"/>
      </w:tcPr>
    </w:tblStylePr>
    <w:tblStylePr w:type="lastCol">
      <w:rPr>
        <w:rFonts w:ascii="Arial" w:hAnsi="Arial"/>
        <w:i/>
        <w:color w:val="B05408" w:themeColor="accent6" w:themeShade="94"/>
        <w:sz w:val="22"/>
      </w:rPr>
      <w:tcPr>
        <w:tcBorders>
          <w:top w:val="nil"/>
          <w:left w:val="single" w:color="FAC396" w:themeColor="accent6" w:themeTint="90" w:sz="4" w:space="0"/>
          <w:bottom w:val="nil"/>
          <w:right w:val="nil"/>
        </w:tcBorders>
        <w:shd w:val="clear" w:color="FFFFFF" w:fill="auto"/>
      </w:tcPr>
    </w:tblStylePr>
    <w:tblStylePr w:type="band1Vert">
      <w:tcPr>
        <w:shd w:val="clear" w:color="FDE9D9" w:themeColor="accent6" w:themeTint="34" w:fill="FDE9D9" w:themeFill="accent6" w:themeFillTint="34"/>
      </w:tcPr>
    </w:tblStylePr>
    <w:tblStylePr w:type="band1Horz">
      <w:rPr>
        <w:rFonts w:ascii="Arial" w:hAnsi="Arial"/>
        <w:color w:val="B05408" w:themeColor="accent6" w:themeShade="94"/>
        <w:sz w:val="22"/>
      </w:rPr>
      <w:tcPr>
        <w:shd w:val="clear" w:color="FDE9D9" w:themeColor="accent6" w:themeTint="34" w:fill="FDE9D9" w:themeFill="accent6" w:themeFillTint="34"/>
      </w:tcPr>
    </w:tblStylePr>
    <w:tblStylePr w:type="band2Horz">
      <w:rPr>
        <w:rFonts w:ascii="Arial" w:hAnsi="Arial"/>
        <w:color w:val="B05408" w:themeColor="accent6" w:themeShade="94"/>
        <w:sz w:val="22"/>
      </w:rPr>
    </w:tblStylePr>
  </w:style>
  <w:style w:type="table" w:customStyle="1" w:styleId="116">
    <w:name w:val="List Table 1 Light"/>
    <w:autoRedefine/>
    <w:qFormat/>
    <w:uiPriority w:val="99"/>
    <w:pPr>
      <w:spacing w:after="0" w:line="240" w:lineRule="auto"/>
    </w:pPr>
    <w:tblStylePr w:type="firstRow">
      <w:rPr>
        <w:b/>
        <w:color w:val="404040"/>
      </w:rPr>
      <w:tcPr>
        <w:tcBorders>
          <w:top w:val="nil"/>
          <w:left w:val="nil"/>
          <w:bottom w:val="single" w:color="000000" w:themeColor="text1" w:sz="4" w:space="0"/>
          <w:right w:val="nil"/>
        </w:tcBorders>
      </w:tcPr>
    </w:tblStylePr>
    <w:tblStylePr w:type="lastRow">
      <w:rPr>
        <w:b/>
        <w:color w:val="404040"/>
      </w:rPr>
      <w:tcPr>
        <w:tcBorders>
          <w:top w:val="single" w:color="000000" w:themeColor="text1" w:sz="4" w:space="0"/>
          <w:left w:val="nil"/>
          <w:bottom w:val="nil"/>
          <w:right w:val="nil"/>
        </w:tcBorders>
      </w:tcPr>
    </w:tblStylePr>
    <w:tblStylePr w:type="firstCol">
      <w:rPr>
        <w:b/>
        <w:color w:val="404040"/>
      </w:rPr>
    </w:tblStylePr>
    <w:tblStylePr w:type="lastCol">
      <w:rPr>
        <w:b/>
        <w:color w:val="404040"/>
      </w:rPr>
    </w:tblStylePr>
    <w:tblStylePr w:type="band1Vert">
      <w:tcPr>
        <w:shd w:val="clear" w:color="BEBEBE" w:themeColor="text1" w:themeTint="40" w:fill="BEBEBE" w:themeFill="text1" w:themeFillTint="40"/>
      </w:tcPr>
    </w:tblStylePr>
    <w:tblStylePr w:type="band1Horz">
      <w:tcPr>
        <w:shd w:val="clear" w:color="BEBEBE" w:themeColor="text1" w:themeTint="40" w:fill="BEBEBE" w:themeFill="text1" w:themeFillTint="40"/>
      </w:tcPr>
    </w:tblStylePr>
  </w:style>
  <w:style w:type="table" w:customStyle="1" w:styleId="117">
    <w:name w:val="List Table 1 Light - Accent 1"/>
    <w:autoRedefine/>
    <w:qFormat/>
    <w:uiPriority w:val="99"/>
    <w:pPr>
      <w:spacing w:after="0" w:line="240" w:lineRule="auto"/>
    </w:pPr>
    <w:tblStylePr w:type="firstRow">
      <w:rPr>
        <w:b/>
        <w:color w:val="404040"/>
      </w:rPr>
      <w:tcPr>
        <w:tcBorders>
          <w:top w:val="nil"/>
          <w:left w:val="nil"/>
          <w:bottom w:val="single" w:color="4F81BD" w:themeColor="accent1" w:sz="4" w:space="0"/>
          <w:right w:val="nil"/>
        </w:tcBorders>
      </w:tcPr>
    </w:tblStylePr>
    <w:tblStylePr w:type="lastRow">
      <w:rPr>
        <w:b/>
        <w:color w:val="404040"/>
      </w:rPr>
      <w:tcPr>
        <w:tcBorders>
          <w:top w:val="single" w:color="4F81BD" w:themeColor="accent1"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2DFEE" w:themeColor="accent1" w:themeTint="40" w:fill="D2DFEE" w:themeFill="accent1" w:themeFillTint="40"/>
      </w:tcPr>
    </w:tblStylePr>
    <w:tblStylePr w:type="band1Horz">
      <w:tcPr>
        <w:shd w:val="clear" w:color="D2DFEE" w:themeColor="accent1" w:themeTint="40" w:fill="D2DFEE" w:themeFill="accent1" w:themeFillTint="40"/>
      </w:tcPr>
    </w:tblStylePr>
  </w:style>
  <w:style w:type="table" w:customStyle="1" w:styleId="118">
    <w:name w:val="List Table 1 Light - Accent 2"/>
    <w:autoRedefine/>
    <w:qFormat/>
    <w:uiPriority w:val="99"/>
    <w:pPr>
      <w:spacing w:after="0" w:line="240" w:lineRule="auto"/>
    </w:pPr>
    <w:tblStylePr w:type="firstRow">
      <w:rPr>
        <w:b/>
        <w:color w:val="404040"/>
      </w:rPr>
      <w:tcPr>
        <w:tcBorders>
          <w:top w:val="nil"/>
          <w:left w:val="nil"/>
          <w:bottom w:val="single" w:color="C0504D" w:themeColor="accent2" w:sz="4" w:space="0"/>
          <w:right w:val="nil"/>
        </w:tcBorders>
      </w:tcPr>
    </w:tblStylePr>
    <w:tblStylePr w:type="lastRow">
      <w:rPr>
        <w:b/>
        <w:color w:val="404040"/>
      </w:rPr>
      <w:tcPr>
        <w:tcBorders>
          <w:top w:val="single" w:color="C0504D" w:themeColor="accent2" w:sz="4" w:space="0"/>
          <w:left w:val="nil"/>
          <w:bottom w:val="nil"/>
          <w:right w:val="nil"/>
        </w:tcBorders>
      </w:tcPr>
    </w:tblStylePr>
    <w:tblStylePr w:type="firstCol">
      <w:rPr>
        <w:b/>
        <w:color w:val="404040"/>
      </w:rPr>
    </w:tblStylePr>
    <w:tblStylePr w:type="lastCol">
      <w:rPr>
        <w:b/>
        <w:color w:val="404040"/>
      </w:rPr>
    </w:tblStylePr>
    <w:tblStylePr w:type="band1Vert">
      <w:tcPr>
        <w:shd w:val="clear" w:color="EFD3D2" w:themeColor="accent2" w:themeTint="40" w:fill="EFD3D2" w:themeFill="accent2" w:themeFillTint="40"/>
      </w:tcPr>
    </w:tblStylePr>
    <w:tblStylePr w:type="band1Horz">
      <w:tcPr>
        <w:shd w:val="clear" w:color="EFD3D2" w:themeColor="accent2" w:themeTint="40" w:fill="EFD3D2" w:themeFill="accent2" w:themeFillTint="40"/>
      </w:tcPr>
    </w:tblStylePr>
  </w:style>
  <w:style w:type="table" w:customStyle="1" w:styleId="119">
    <w:name w:val="List Table 1 Light - Accent 3"/>
    <w:autoRedefine/>
    <w:qFormat/>
    <w:uiPriority w:val="99"/>
    <w:pPr>
      <w:spacing w:after="0" w:line="240" w:lineRule="auto"/>
    </w:pPr>
    <w:tblStylePr w:type="firstRow">
      <w:rPr>
        <w:b/>
        <w:color w:val="404040"/>
      </w:rPr>
      <w:tcPr>
        <w:tcBorders>
          <w:top w:val="nil"/>
          <w:left w:val="nil"/>
          <w:bottom w:val="single" w:color="9BBB59" w:themeColor="accent3" w:sz="4" w:space="0"/>
          <w:right w:val="nil"/>
        </w:tcBorders>
      </w:tcPr>
    </w:tblStylePr>
    <w:tblStylePr w:type="lastRow">
      <w:rPr>
        <w:b/>
        <w:color w:val="404040"/>
      </w:rPr>
      <w:tcPr>
        <w:tcBorders>
          <w:top w:val="single" w:color="9BBB59" w:themeColor="accent3" w:sz="4" w:space="0"/>
          <w:left w:val="nil"/>
          <w:bottom w:val="nil"/>
          <w:right w:val="nil"/>
        </w:tcBorders>
      </w:tcPr>
    </w:tblStylePr>
    <w:tblStylePr w:type="firstCol">
      <w:rPr>
        <w:b/>
        <w:color w:val="404040"/>
      </w:rPr>
    </w:tblStylePr>
    <w:tblStylePr w:type="lastCol">
      <w:rPr>
        <w:b/>
        <w:color w:val="404040"/>
      </w:rPr>
    </w:tblStylePr>
    <w:tblStylePr w:type="band1Vert">
      <w:tcPr>
        <w:shd w:val="clear" w:color="E5EDD5" w:themeColor="accent3" w:themeTint="40" w:fill="E5EDD5" w:themeFill="accent3" w:themeFillTint="40"/>
      </w:tcPr>
    </w:tblStylePr>
    <w:tblStylePr w:type="band1Horz">
      <w:tcPr>
        <w:shd w:val="clear" w:color="E5EDD5" w:themeColor="accent3" w:themeTint="40" w:fill="E5EDD5" w:themeFill="accent3" w:themeFillTint="40"/>
      </w:tcPr>
    </w:tblStylePr>
  </w:style>
  <w:style w:type="table" w:customStyle="1" w:styleId="120">
    <w:name w:val="List Table 1 Light - Accent 4"/>
    <w:autoRedefine/>
    <w:qFormat/>
    <w:uiPriority w:val="99"/>
    <w:pPr>
      <w:spacing w:after="0" w:line="240" w:lineRule="auto"/>
    </w:pPr>
    <w:tblStylePr w:type="firstRow">
      <w:rPr>
        <w:b/>
        <w:color w:val="404040"/>
      </w:rPr>
      <w:tcPr>
        <w:tcBorders>
          <w:top w:val="nil"/>
          <w:left w:val="nil"/>
          <w:bottom w:val="single" w:color="8064A2" w:themeColor="accent4" w:sz="4" w:space="0"/>
          <w:right w:val="nil"/>
        </w:tcBorders>
      </w:tcPr>
    </w:tblStylePr>
    <w:tblStylePr w:type="lastRow">
      <w:rPr>
        <w:b/>
        <w:color w:val="404040"/>
      </w:rPr>
      <w:tcPr>
        <w:tcBorders>
          <w:top w:val="single" w:color="8064A2" w:themeColor="accent4"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FD8E7" w:themeColor="accent4" w:themeTint="40" w:fill="DFD8E7" w:themeFill="accent4" w:themeFillTint="40"/>
      </w:tcPr>
    </w:tblStylePr>
    <w:tblStylePr w:type="band1Horz">
      <w:tcPr>
        <w:shd w:val="clear" w:color="DFD8E7" w:themeColor="accent4" w:themeTint="40" w:fill="DFD8E7" w:themeFill="accent4" w:themeFillTint="40"/>
      </w:tcPr>
    </w:tblStylePr>
  </w:style>
  <w:style w:type="table" w:customStyle="1" w:styleId="121">
    <w:name w:val="List Table 1 Light - Accent 5"/>
    <w:autoRedefine/>
    <w:qFormat/>
    <w:uiPriority w:val="99"/>
    <w:pPr>
      <w:spacing w:after="0" w:line="240" w:lineRule="auto"/>
    </w:pPr>
    <w:tblStylePr w:type="firstRow">
      <w:rPr>
        <w:b/>
        <w:color w:val="404040"/>
      </w:rPr>
      <w:tcPr>
        <w:tcBorders>
          <w:top w:val="nil"/>
          <w:left w:val="nil"/>
          <w:bottom w:val="single" w:color="4BACC6" w:themeColor="accent5" w:sz="4" w:space="0"/>
          <w:right w:val="nil"/>
        </w:tcBorders>
      </w:tcPr>
    </w:tblStylePr>
    <w:tblStylePr w:type="lastRow">
      <w:rPr>
        <w:b/>
        <w:color w:val="404040"/>
      </w:rPr>
      <w:tcPr>
        <w:tcBorders>
          <w:top w:val="single" w:color="4BACC6" w:themeColor="accent5"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1EAF0" w:themeColor="accent5" w:themeTint="40" w:fill="D1EAF0" w:themeFill="accent5" w:themeFillTint="40"/>
      </w:tcPr>
    </w:tblStylePr>
    <w:tblStylePr w:type="band1Horz">
      <w:tcPr>
        <w:shd w:val="clear" w:color="D1EAF0" w:themeColor="accent5" w:themeTint="40" w:fill="D1EAF0" w:themeFill="accent5" w:themeFillTint="40"/>
      </w:tcPr>
    </w:tblStylePr>
  </w:style>
  <w:style w:type="table" w:customStyle="1" w:styleId="122">
    <w:name w:val="List Table 1 Light - Accent 6"/>
    <w:autoRedefine/>
    <w:qFormat/>
    <w:uiPriority w:val="99"/>
    <w:pPr>
      <w:spacing w:after="0" w:line="240" w:lineRule="auto"/>
    </w:pPr>
    <w:tblStylePr w:type="firstRow">
      <w:rPr>
        <w:b/>
        <w:color w:val="404040"/>
      </w:rPr>
      <w:tcPr>
        <w:tcBorders>
          <w:top w:val="nil"/>
          <w:left w:val="nil"/>
          <w:bottom w:val="single" w:color="F79646" w:themeColor="accent6" w:sz="4" w:space="0"/>
          <w:right w:val="nil"/>
        </w:tcBorders>
      </w:tcPr>
    </w:tblStylePr>
    <w:tblStylePr w:type="lastRow">
      <w:rPr>
        <w:b/>
        <w:color w:val="404040"/>
      </w:rPr>
      <w:tcPr>
        <w:tcBorders>
          <w:top w:val="single" w:color="F79646" w:themeColor="accent6" w:sz="4" w:space="0"/>
          <w:left w:val="nil"/>
          <w:bottom w:val="nil"/>
          <w:right w:val="nil"/>
        </w:tcBorders>
      </w:tcPr>
    </w:tblStylePr>
    <w:tblStylePr w:type="firstCol">
      <w:rPr>
        <w:b/>
        <w:color w:val="404040"/>
      </w:rPr>
    </w:tblStylePr>
    <w:tblStylePr w:type="lastCol">
      <w:rPr>
        <w:b/>
        <w:color w:val="404040"/>
      </w:rPr>
    </w:tblStylePr>
    <w:tblStylePr w:type="band1Vert">
      <w:tcPr>
        <w:shd w:val="clear" w:color="FCE4D0" w:themeColor="accent6" w:themeTint="40" w:fill="FCE4D0" w:themeFill="accent6" w:themeFillTint="40"/>
      </w:tcPr>
    </w:tblStylePr>
    <w:tblStylePr w:type="band1Horz">
      <w:tcPr>
        <w:shd w:val="clear" w:color="FCE4D0" w:themeColor="accent6" w:themeTint="40" w:fill="FCE4D0" w:themeFill="accent6" w:themeFillTint="40"/>
      </w:tcPr>
    </w:tblStylePr>
  </w:style>
  <w:style w:type="table" w:customStyle="1" w:styleId="123">
    <w:name w:val="List Table 2"/>
    <w:autoRedefine/>
    <w:qFormat/>
    <w:uiPriority w:val="99"/>
    <w:pPr>
      <w:spacing w:after="0" w:line="240" w:lineRule="auto"/>
    </w:pPr>
    <w:tblPr>
      <w:tblBorders>
        <w:top w:val="single" w:color="6E6E6E" w:themeColor="text1" w:themeTint="90" w:sz="4" w:space="0"/>
        <w:bottom w:val="single" w:color="6E6E6E" w:themeColor="text1" w:themeTint="90" w:sz="4" w:space="0"/>
        <w:insideH w:val="single" w:color="6E6E6E" w:themeColor="text1" w:themeTint="90" w:sz="4" w:space="0"/>
      </w:tblBorders>
    </w:tblPr>
    <w:tblStylePr w:type="firstRow">
      <w:rPr>
        <w:rFonts w:ascii="Arial" w:hAnsi="Arial"/>
        <w:b/>
        <w:color w:val="404040"/>
        <w:sz w:val="22"/>
      </w:rPr>
      <w:tcPr>
        <w:tcBorders>
          <w:top w:val="single" w:color="6E6E6E" w:themeColor="text1" w:themeTint="90" w:sz="4" w:space="0"/>
          <w:left w:val="nil"/>
          <w:bottom w:val="single" w:color="6E6E6E" w:themeColor="text1" w:themeTint="90" w:sz="4" w:space="0"/>
          <w:right w:val="nil"/>
        </w:tcBorders>
      </w:tcPr>
    </w:tblStylePr>
    <w:tblStylePr w:type="lastRow">
      <w:rPr>
        <w:rFonts w:ascii="Arial" w:hAnsi="Arial"/>
        <w:b/>
        <w:color w:val="404040"/>
        <w:sz w:val="22"/>
      </w:rPr>
      <w:tcPr>
        <w:tcBorders>
          <w:top w:val="single" w:color="6E6E6E" w:themeColor="text1" w:themeTint="90" w:sz="4" w:space="0"/>
          <w:left w:val="nil"/>
          <w:bottom w:val="single" w:color="6E6E6E" w:themeColor="text1"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BEBEBE" w:themeColor="text1" w:themeTint="40" w:fill="BEBEBE" w:themeFill="text1" w:themeFillTint="40"/>
      </w:tcPr>
    </w:tblStylePr>
    <w:tblStylePr w:type="band1Horz">
      <w:rPr>
        <w:rFonts w:ascii="Arial" w:hAnsi="Arial"/>
        <w:color w:val="404040"/>
        <w:sz w:val="22"/>
      </w:rPr>
      <w:tcPr>
        <w:shd w:val="clear" w:color="BEBEBE" w:themeColor="text1" w:themeTint="40" w:fill="BEBEBE" w:themeFill="text1" w:themeFillTint="40"/>
      </w:tcPr>
    </w:tblStylePr>
  </w:style>
  <w:style w:type="table" w:customStyle="1" w:styleId="124">
    <w:name w:val="List Table 2 - Accent 1"/>
    <w:autoRedefine/>
    <w:qFormat/>
    <w:uiPriority w:val="99"/>
    <w:pPr>
      <w:spacing w:after="0" w:line="240" w:lineRule="auto"/>
    </w:pPr>
    <w:tblPr>
      <w:tblBorders>
        <w:top w:val="single" w:color="9BB7D9" w:themeColor="accent1" w:themeTint="90" w:sz="4" w:space="0"/>
        <w:bottom w:val="single" w:color="9BB7D9" w:themeColor="accent1" w:themeTint="90" w:sz="4" w:space="0"/>
        <w:insideH w:val="single" w:color="9BB7D9" w:themeColor="accent1" w:themeTint="90" w:sz="4" w:space="0"/>
      </w:tblBorders>
    </w:tblPr>
    <w:tblStylePr w:type="firstRow">
      <w:rPr>
        <w:rFonts w:ascii="Arial" w:hAnsi="Arial"/>
        <w:b/>
        <w:color w:val="404040"/>
        <w:sz w:val="22"/>
      </w:rPr>
      <w:tcPr>
        <w:tcBorders>
          <w:top w:val="single" w:color="9BB7D9" w:themeColor="accent1" w:themeTint="90" w:sz="4" w:space="0"/>
          <w:left w:val="nil"/>
          <w:bottom w:val="single" w:color="9BB7D9" w:themeColor="accent1" w:themeTint="90" w:sz="4" w:space="0"/>
          <w:right w:val="nil"/>
        </w:tcBorders>
      </w:tcPr>
    </w:tblStylePr>
    <w:tblStylePr w:type="lastRow">
      <w:rPr>
        <w:rFonts w:ascii="Arial" w:hAnsi="Arial"/>
        <w:b/>
        <w:color w:val="404040"/>
        <w:sz w:val="22"/>
      </w:rPr>
      <w:tcPr>
        <w:tcBorders>
          <w:top w:val="single" w:color="9BB7D9" w:themeColor="accent1" w:themeTint="90" w:sz="4" w:space="0"/>
          <w:left w:val="nil"/>
          <w:bottom w:val="single" w:color="9BB7D9" w:themeColor="accent1"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2DFEE" w:themeColor="accent1" w:themeTint="40" w:fill="D2DFEE" w:themeFill="accent1" w:themeFillTint="40"/>
      </w:tcPr>
    </w:tblStylePr>
    <w:tblStylePr w:type="band1Horz">
      <w:rPr>
        <w:rFonts w:ascii="Arial" w:hAnsi="Arial"/>
        <w:color w:val="404040"/>
        <w:sz w:val="22"/>
      </w:rPr>
      <w:tcPr>
        <w:shd w:val="clear" w:color="D2DFEE" w:themeColor="accent1" w:themeTint="40" w:fill="D2DFEE" w:themeFill="accent1" w:themeFillTint="40"/>
      </w:tcPr>
    </w:tblStylePr>
  </w:style>
  <w:style w:type="table" w:customStyle="1" w:styleId="125">
    <w:name w:val="List Table 2 - Accent 2"/>
    <w:autoRedefine/>
    <w:qFormat/>
    <w:uiPriority w:val="99"/>
    <w:pPr>
      <w:spacing w:after="0" w:line="240" w:lineRule="auto"/>
    </w:pPr>
    <w:tblPr>
      <w:tblBorders>
        <w:top w:val="single" w:color="DB9C9A" w:themeColor="accent2" w:themeTint="90" w:sz="4" w:space="0"/>
        <w:bottom w:val="single" w:color="DB9C9A" w:themeColor="accent2" w:themeTint="90" w:sz="4" w:space="0"/>
        <w:insideH w:val="single" w:color="DB9C9A" w:themeColor="accent2" w:themeTint="90" w:sz="4" w:space="0"/>
      </w:tblBorders>
    </w:tblPr>
    <w:tblStylePr w:type="firstRow">
      <w:rPr>
        <w:rFonts w:ascii="Arial" w:hAnsi="Arial"/>
        <w:b/>
        <w:color w:val="404040"/>
        <w:sz w:val="22"/>
      </w:rPr>
      <w:tcPr>
        <w:tcBorders>
          <w:top w:val="single" w:color="DB9C9A" w:themeColor="accent2" w:themeTint="90" w:sz="4" w:space="0"/>
          <w:left w:val="nil"/>
          <w:bottom w:val="single" w:color="DB9C9A" w:themeColor="accent2" w:themeTint="90" w:sz="4" w:space="0"/>
          <w:right w:val="nil"/>
        </w:tcBorders>
      </w:tcPr>
    </w:tblStylePr>
    <w:tblStylePr w:type="lastRow">
      <w:rPr>
        <w:rFonts w:ascii="Arial" w:hAnsi="Arial"/>
        <w:b/>
        <w:color w:val="404040"/>
        <w:sz w:val="22"/>
      </w:rPr>
      <w:tcPr>
        <w:tcBorders>
          <w:top w:val="single" w:color="DB9C9A" w:themeColor="accent2" w:themeTint="90" w:sz="4" w:space="0"/>
          <w:left w:val="nil"/>
          <w:bottom w:val="single" w:color="DB9C9A" w:themeColor="accent2"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EFD3D2" w:themeColor="accent2" w:themeTint="40" w:fill="EFD3D2" w:themeFill="accent2" w:themeFillTint="40"/>
      </w:tcPr>
    </w:tblStylePr>
    <w:tblStylePr w:type="band1Horz">
      <w:rPr>
        <w:rFonts w:ascii="Arial" w:hAnsi="Arial"/>
        <w:color w:val="404040"/>
        <w:sz w:val="22"/>
      </w:rPr>
      <w:tcPr>
        <w:shd w:val="clear" w:color="EFD3D2" w:themeColor="accent2" w:themeTint="40" w:fill="EFD3D2" w:themeFill="accent2" w:themeFillTint="40"/>
      </w:tcPr>
    </w:tblStylePr>
  </w:style>
  <w:style w:type="table" w:customStyle="1" w:styleId="126">
    <w:name w:val="List Table 2 - Accent 3"/>
    <w:autoRedefine/>
    <w:qFormat/>
    <w:uiPriority w:val="99"/>
    <w:pPr>
      <w:spacing w:after="0" w:line="240" w:lineRule="auto"/>
    </w:pPr>
    <w:tblPr>
      <w:tblBorders>
        <w:top w:val="single" w:color="C6D8A1" w:themeColor="accent3" w:themeTint="90" w:sz="4" w:space="0"/>
        <w:bottom w:val="single" w:color="C6D8A1" w:themeColor="accent3" w:themeTint="90" w:sz="4" w:space="0"/>
        <w:insideH w:val="single" w:color="C6D8A1" w:themeColor="accent3" w:themeTint="90" w:sz="4" w:space="0"/>
      </w:tblBorders>
    </w:tblPr>
    <w:tblStylePr w:type="firstRow">
      <w:rPr>
        <w:rFonts w:ascii="Arial" w:hAnsi="Arial"/>
        <w:b/>
        <w:color w:val="404040"/>
        <w:sz w:val="22"/>
      </w:rPr>
      <w:tcPr>
        <w:tcBorders>
          <w:top w:val="single" w:color="C6D8A1" w:themeColor="accent3" w:themeTint="90" w:sz="4" w:space="0"/>
          <w:left w:val="nil"/>
          <w:bottom w:val="single" w:color="C6D8A1" w:themeColor="accent3" w:themeTint="90" w:sz="4" w:space="0"/>
          <w:right w:val="nil"/>
        </w:tcBorders>
      </w:tcPr>
    </w:tblStylePr>
    <w:tblStylePr w:type="lastRow">
      <w:rPr>
        <w:rFonts w:ascii="Arial" w:hAnsi="Arial"/>
        <w:b/>
        <w:color w:val="404040"/>
        <w:sz w:val="22"/>
      </w:rPr>
      <w:tcPr>
        <w:tcBorders>
          <w:top w:val="single" w:color="C6D8A1" w:themeColor="accent3" w:themeTint="90" w:sz="4" w:space="0"/>
          <w:left w:val="nil"/>
          <w:bottom w:val="single" w:color="C6D8A1" w:themeColor="accent3"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E5EDD5" w:themeColor="accent3" w:themeTint="40" w:fill="E5EDD5" w:themeFill="accent3" w:themeFillTint="40"/>
      </w:tcPr>
    </w:tblStylePr>
    <w:tblStylePr w:type="band1Horz">
      <w:rPr>
        <w:rFonts w:ascii="Arial" w:hAnsi="Arial"/>
        <w:color w:val="404040"/>
        <w:sz w:val="22"/>
      </w:rPr>
      <w:tcPr>
        <w:shd w:val="clear" w:color="E5EDD5" w:themeColor="accent3" w:themeTint="40" w:fill="E5EDD5" w:themeFill="accent3" w:themeFillTint="40"/>
      </w:tcPr>
    </w:tblStylePr>
  </w:style>
  <w:style w:type="table" w:customStyle="1" w:styleId="127">
    <w:name w:val="List Table 2 - Accent 4"/>
    <w:autoRedefine/>
    <w:qFormat/>
    <w:uiPriority w:val="99"/>
    <w:pPr>
      <w:spacing w:after="0" w:line="240" w:lineRule="auto"/>
    </w:pPr>
    <w:tblPr>
      <w:tblBorders>
        <w:top w:val="single" w:color="B7A7CA" w:themeColor="accent4" w:themeTint="90" w:sz="4" w:space="0"/>
        <w:bottom w:val="single" w:color="B7A7CA" w:themeColor="accent4" w:themeTint="90" w:sz="4" w:space="0"/>
        <w:insideH w:val="single" w:color="B7A7CA" w:themeColor="accent4" w:themeTint="90" w:sz="4" w:space="0"/>
      </w:tblBorders>
    </w:tblPr>
    <w:tblStylePr w:type="firstRow">
      <w:rPr>
        <w:rFonts w:ascii="Arial" w:hAnsi="Arial"/>
        <w:b/>
        <w:color w:val="404040"/>
        <w:sz w:val="22"/>
      </w:rPr>
      <w:tcPr>
        <w:tcBorders>
          <w:top w:val="single" w:color="B7A7CA" w:themeColor="accent4" w:themeTint="90" w:sz="4" w:space="0"/>
          <w:left w:val="nil"/>
          <w:bottom w:val="single" w:color="B7A7CA" w:themeColor="accent4" w:themeTint="90" w:sz="4" w:space="0"/>
          <w:right w:val="nil"/>
        </w:tcBorders>
      </w:tcPr>
    </w:tblStylePr>
    <w:tblStylePr w:type="lastRow">
      <w:rPr>
        <w:rFonts w:ascii="Arial" w:hAnsi="Arial"/>
        <w:b/>
        <w:color w:val="404040"/>
        <w:sz w:val="22"/>
      </w:rPr>
      <w:tcPr>
        <w:tcBorders>
          <w:top w:val="single" w:color="B7A7CA" w:themeColor="accent4" w:themeTint="90" w:sz="4" w:space="0"/>
          <w:left w:val="nil"/>
          <w:bottom w:val="single" w:color="B7A7CA" w:themeColor="accent4"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FD8E7" w:themeColor="accent4" w:themeTint="40" w:fill="DFD8E7" w:themeFill="accent4" w:themeFillTint="40"/>
      </w:tcPr>
    </w:tblStylePr>
    <w:tblStylePr w:type="band1Horz">
      <w:rPr>
        <w:rFonts w:ascii="Arial" w:hAnsi="Arial"/>
        <w:color w:val="404040"/>
        <w:sz w:val="22"/>
      </w:rPr>
      <w:tcPr>
        <w:shd w:val="clear" w:color="DFD8E7" w:themeColor="accent4" w:themeTint="40" w:fill="DFD8E7" w:themeFill="accent4" w:themeFillTint="40"/>
      </w:tcPr>
    </w:tblStylePr>
  </w:style>
  <w:style w:type="table" w:customStyle="1" w:styleId="128">
    <w:name w:val="List Table 2 - Accent 5"/>
    <w:autoRedefine/>
    <w:qFormat/>
    <w:uiPriority w:val="99"/>
    <w:pPr>
      <w:spacing w:after="0" w:line="240" w:lineRule="auto"/>
    </w:pPr>
    <w:tblPr>
      <w:tblBorders>
        <w:top w:val="single" w:color="99D0DE" w:themeColor="accent5" w:themeTint="90" w:sz="4" w:space="0"/>
        <w:bottom w:val="single" w:color="99D0DE" w:themeColor="accent5" w:themeTint="90" w:sz="4" w:space="0"/>
        <w:insideH w:val="single" w:color="99D0DE" w:themeColor="accent5" w:themeTint="90" w:sz="4" w:space="0"/>
      </w:tblBorders>
    </w:tblPr>
    <w:tblStylePr w:type="firstRow">
      <w:rPr>
        <w:rFonts w:ascii="Arial" w:hAnsi="Arial"/>
        <w:b/>
        <w:color w:val="404040"/>
        <w:sz w:val="22"/>
      </w:rPr>
      <w:tcPr>
        <w:tcBorders>
          <w:top w:val="single" w:color="99D0DE" w:themeColor="accent5" w:themeTint="90" w:sz="4" w:space="0"/>
          <w:left w:val="nil"/>
          <w:bottom w:val="single" w:color="99D0DE" w:themeColor="accent5" w:themeTint="90" w:sz="4" w:space="0"/>
          <w:right w:val="nil"/>
        </w:tcBorders>
      </w:tcPr>
    </w:tblStylePr>
    <w:tblStylePr w:type="lastRow">
      <w:rPr>
        <w:rFonts w:ascii="Arial" w:hAnsi="Arial"/>
        <w:b/>
        <w:color w:val="404040"/>
        <w:sz w:val="22"/>
      </w:rPr>
      <w:tcPr>
        <w:tcBorders>
          <w:top w:val="single" w:color="99D0DE" w:themeColor="accent5" w:themeTint="90" w:sz="4" w:space="0"/>
          <w:left w:val="nil"/>
          <w:bottom w:val="single" w:color="99D0DE" w:themeColor="accent5"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1EAF0" w:themeColor="accent5" w:themeTint="40" w:fill="D1EAF0" w:themeFill="accent5" w:themeFillTint="40"/>
      </w:tcPr>
    </w:tblStylePr>
    <w:tblStylePr w:type="band1Horz">
      <w:rPr>
        <w:rFonts w:ascii="Arial" w:hAnsi="Arial"/>
        <w:color w:val="404040"/>
        <w:sz w:val="22"/>
      </w:rPr>
      <w:tcPr>
        <w:shd w:val="clear" w:color="D1EAF0" w:themeColor="accent5" w:themeTint="40" w:fill="D1EAF0" w:themeFill="accent5" w:themeFillTint="40"/>
      </w:tcPr>
    </w:tblStylePr>
  </w:style>
  <w:style w:type="table" w:customStyle="1" w:styleId="129">
    <w:name w:val="List Table 2 - Accent 6"/>
    <w:autoRedefine/>
    <w:qFormat/>
    <w:uiPriority w:val="99"/>
    <w:pPr>
      <w:spacing w:after="0" w:line="240" w:lineRule="auto"/>
    </w:pPr>
    <w:tblPr>
      <w:tblBorders>
        <w:top w:val="single" w:color="FAC396" w:themeColor="accent6" w:themeTint="90" w:sz="4" w:space="0"/>
        <w:bottom w:val="single" w:color="FAC396" w:themeColor="accent6" w:themeTint="90" w:sz="4" w:space="0"/>
        <w:insideH w:val="single" w:color="FAC396" w:themeColor="accent6" w:themeTint="90" w:sz="4" w:space="0"/>
      </w:tblBorders>
    </w:tblPr>
    <w:tblStylePr w:type="firstRow">
      <w:rPr>
        <w:rFonts w:ascii="Arial" w:hAnsi="Arial"/>
        <w:b/>
        <w:color w:val="404040"/>
        <w:sz w:val="22"/>
      </w:rPr>
      <w:tcPr>
        <w:tcBorders>
          <w:top w:val="single" w:color="FAC396" w:themeColor="accent6" w:themeTint="90" w:sz="4" w:space="0"/>
          <w:left w:val="nil"/>
          <w:bottom w:val="single" w:color="FAC396" w:themeColor="accent6" w:themeTint="90" w:sz="4" w:space="0"/>
          <w:right w:val="nil"/>
        </w:tcBorders>
      </w:tcPr>
    </w:tblStylePr>
    <w:tblStylePr w:type="lastRow">
      <w:rPr>
        <w:rFonts w:ascii="Arial" w:hAnsi="Arial"/>
        <w:b/>
        <w:color w:val="404040"/>
        <w:sz w:val="22"/>
      </w:rPr>
      <w:tcPr>
        <w:tcBorders>
          <w:top w:val="single" w:color="FAC396" w:themeColor="accent6" w:themeTint="90" w:sz="4" w:space="0"/>
          <w:left w:val="nil"/>
          <w:bottom w:val="single" w:color="FAC396" w:themeColor="accent6"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FCE4D0" w:themeColor="accent6" w:themeTint="40" w:fill="FCE4D0" w:themeFill="accent6" w:themeFillTint="40"/>
      </w:tcPr>
    </w:tblStylePr>
    <w:tblStylePr w:type="band1Horz">
      <w:rPr>
        <w:rFonts w:ascii="Arial" w:hAnsi="Arial"/>
        <w:color w:val="404040"/>
        <w:sz w:val="22"/>
      </w:rPr>
      <w:tcPr>
        <w:shd w:val="clear" w:color="FCE4D0" w:themeColor="accent6" w:themeTint="40" w:fill="FCE4D0" w:themeFill="accent6" w:themeFillTint="40"/>
      </w:tcPr>
    </w:tblStylePr>
  </w:style>
  <w:style w:type="table" w:customStyle="1" w:styleId="130">
    <w:name w:val="List Table 3"/>
    <w:autoRedefine/>
    <w:qFormat/>
    <w:uiPriority w:val="9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firstRow">
      <w:rPr>
        <w:rFonts w:ascii="Arial" w:hAnsi="Arial"/>
        <w:b/>
        <w:color w:val="FFFFFF"/>
        <w:sz w:val="22"/>
      </w:r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000000" w:themeColor="text1" w:sz="4" w:space="0"/>
          <w:right w:val="single" w:color="000000" w:themeColor="text1" w:sz="4" w:space="0"/>
        </w:tcBorders>
      </w:tcPr>
    </w:tblStylePr>
    <w:tblStylePr w:type="band1Horz">
      <w:rPr>
        <w:rFonts w:ascii="Arial" w:hAnsi="Arial"/>
        <w:color w:val="404040"/>
        <w:sz w:val="22"/>
      </w:rPr>
      <w:tcPr>
        <w:tcBorders>
          <w:top w:val="single" w:color="000000" w:themeColor="text1" w:sz="4" w:space="0"/>
          <w:bottom w:val="single" w:color="000000" w:themeColor="text1" w:sz="4" w:space="0"/>
        </w:tcBorders>
      </w:tcPr>
    </w:tblStylePr>
  </w:style>
  <w:style w:type="table" w:customStyle="1" w:styleId="131">
    <w:name w:val="List Table 3 - Accent 1"/>
    <w:autoRedefine/>
    <w:qFormat/>
    <w:uiPriority w:val="99"/>
    <w:pPr>
      <w:spacing w:after="0" w:line="240" w:lineRule="auto"/>
    </w:pPr>
    <w:tblPr>
      <w:tblBorders>
        <w:top w:val="single" w:color="4F81BD" w:themeColor="accent1" w:sz="4" w:space="0"/>
        <w:left w:val="single" w:color="4F81BD" w:themeColor="accent1" w:sz="4" w:space="0"/>
        <w:bottom w:val="single" w:color="4F81BD" w:themeColor="accent1" w:sz="4" w:space="0"/>
        <w:right w:val="single" w:color="4F81BD" w:themeColor="accent1" w:sz="4" w:space="0"/>
      </w:tblBorders>
    </w:tblPr>
    <w:tblStylePr w:type="firstRow">
      <w:rPr>
        <w:rFonts w:ascii="Arial" w:hAnsi="Arial"/>
        <w:b/>
        <w:color w:val="FFFFFF"/>
        <w:sz w:val="22"/>
      </w:r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4F81BD" w:themeColor="accent1" w:sz="4" w:space="0"/>
          <w:right w:val="single" w:color="4F81BD" w:themeColor="accent1" w:sz="4" w:space="0"/>
        </w:tcBorders>
      </w:tcPr>
    </w:tblStylePr>
    <w:tblStylePr w:type="band1Horz">
      <w:rPr>
        <w:rFonts w:ascii="Arial" w:hAnsi="Arial"/>
        <w:color w:val="404040"/>
        <w:sz w:val="22"/>
      </w:rPr>
      <w:tcPr>
        <w:tcBorders>
          <w:top w:val="single" w:color="4F81BD" w:themeColor="accent1" w:sz="4" w:space="0"/>
          <w:bottom w:val="single" w:color="4F81BD" w:themeColor="accent1" w:sz="4" w:space="0"/>
        </w:tcBorders>
      </w:tcPr>
    </w:tblStylePr>
  </w:style>
  <w:style w:type="table" w:customStyle="1" w:styleId="132">
    <w:name w:val="List Table 3 - Accent 2"/>
    <w:autoRedefine/>
    <w:qFormat/>
    <w:uiPriority w:val="99"/>
    <w:pPr>
      <w:spacing w:after="0" w:line="240" w:lineRule="auto"/>
    </w:pPr>
    <w:tblPr>
      <w:tblBorders>
        <w:top w:val="single" w:color="D99795" w:themeColor="accent2" w:themeTint="97" w:sz="4" w:space="0"/>
        <w:left w:val="single" w:color="D99795" w:themeColor="accent2" w:themeTint="97" w:sz="4" w:space="0"/>
        <w:bottom w:val="single" w:color="D99795" w:themeColor="accent2" w:themeTint="97" w:sz="4" w:space="0"/>
        <w:right w:val="single" w:color="D99795" w:themeColor="accent2" w:themeTint="97" w:sz="4" w:space="0"/>
      </w:tblBorders>
    </w:tblPr>
    <w:tblStylePr w:type="firstRow">
      <w:rPr>
        <w:rFonts w:ascii="Arial" w:hAnsi="Arial"/>
        <w:b/>
        <w:color w:val="FFFFFF"/>
        <w:sz w:val="22"/>
      </w:rPr>
      <w:tcPr>
        <w:shd w:val="clear" w:color="D99795" w:themeColor="accent2" w:themeTint="97" w:fill="D997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D99795" w:themeColor="accent2" w:themeTint="97" w:sz="4" w:space="0"/>
          <w:right w:val="single" w:color="D99795" w:themeColor="accent2" w:themeTint="97" w:sz="4" w:space="0"/>
        </w:tcBorders>
      </w:tcPr>
    </w:tblStylePr>
    <w:tblStylePr w:type="band1Horz">
      <w:rPr>
        <w:rFonts w:ascii="Arial" w:hAnsi="Arial"/>
        <w:color w:val="404040"/>
        <w:sz w:val="22"/>
      </w:rPr>
      <w:tcPr>
        <w:tcBorders>
          <w:top w:val="single" w:color="D99795" w:themeColor="accent2" w:themeTint="97" w:sz="4" w:space="0"/>
          <w:bottom w:val="single" w:color="D99795" w:themeColor="accent2" w:themeTint="97" w:sz="4" w:space="0"/>
        </w:tcBorders>
      </w:tcPr>
    </w:tblStylePr>
  </w:style>
  <w:style w:type="table" w:customStyle="1" w:styleId="133">
    <w:name w:val="List Table 3 - Accent 3"/>
    <w:autoRedefine/>
    <w:qFormat/>
    <w:uiPriority w:val="99"/>
    <w:pPr>
      <w:spacing w:after="0" w:line="240" w:lineRule="auto"/>
    </w:pPr>
    <w:tblPr>
      <w:tblBorders>
        <w:top w:val="single" w:color="C3D69C" w:themeColor="accent3" w:themeTint="98" w:sz="4" w:space="0"/>
        <w:left w:val="single" w:color="C3D69C" w:themeColor="accent3" w:themeTint="98" w:sz="4" w:space="0"/>
        <w:bottom w:val="single" w:color="C3D69C" w:themeColor="accent3" w:themeTint="98" w:sz="4" w:space="0"/>
        <w:right w:val="single" w:color="C3D69C" w:themeColor="accent3" w:themeTint="98" w:sz="4" w:space="0"/>
      </w:tblBorders>
    </w:tblPr>
    <w:tblStylePr w:type="firstRow">
      <w:rPr>
        <w:rFonts w:ascii="Arial" w:hAnsi="Arial"/>
        <w:b/>
        <w:color w:val="FFFFFF"/>
        <w:sz w:val="22"/>
      </w:rPr>
      <w:tcPr>
        <w:shd w:val="clear" w:color="C3D69C" w:themeColor="accent3" w:themeTint="98" w:fill="C3D69C"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C3D69C" w:themeColor="accent3" w:themeTint="98" w:sz="4" w:space="0"/>
          <w:right w:val="single" w:color="C3D69C" w:themeColor="accent3" w:themeTint="98" w:sz="4" w:space="0"/>
        </w:tcBorders>
      </w:tcPr>
    </w:tblStylePr>
    <w:tblStylePr w:type="band1Horz">
      <w:rPr>
        <w:rFonts w:ascii="Arial" w:hAnsi="Arial"/>
        <w:color w:val="404040"/>
        <w:sz w:val="22"/>
      </w:rPr>
      <w:tcPr>
        <w:tcBorders>
          <w:top w:val="single" w:color="C3D69C" w:themeColor="accent3" w:themeTint="98" w:sz="4" w:space="0"/>
          <w:bottom w:val="single" w:color="C3D69C" w:themeColor="accent3" w:themeTint="98" w:sz="4" w:space="0"/>
        </w:tcBorders>
      </w:tcPr>
    </w:tblStylePr>
  </w:style>
  <w:style w:type="table" w:customStyle="1" w:styleId="134">
    <w:name w:val="List Table 3 - Accent 4"/>
    <w:autoRedefine/>
    <w:qFormat/>
    <w:uiPriority w:val="99"/>
    <w:pPr>
      <w:spacing w:after="0" w:line="240" w:lineRule="auto"/>
    </w:pPr>
    <w:tblPr>
      <w:tbl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tblBorders>
    </w:tblPr>
    <w:tblStylePr w:type="firstRow">
      <w:rPr>
        <w:rFonts w:ascii="Arial" w:hAnsi="Arial"/>
        <w:b/>
        <w:color w:val="FFFFFF"/>
        <w:sz w:val="22"/>
      </w:r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B2A1C6" w:themeColor="accent4" w:themeTint="9A" w:sz="4" w:space="0"/>
          <w:right w:val="single" w:color="B2A1C6" w:themeColor="accent4" w:themeTint="9A" w:sz="4" w:space="0"/>
        </w:tcBorders>
      </w:tcPr>
    </w:tblStylePr>
    <w:tblStylePr w:type="band1Horz">
      <w:rPr>
        <w:rFonts w:ascii="Arial" w:hAnsi="Arial"/>
        <w:color w:val="404040"/>
        <w:sz w:val="22"/>
      </w:rPr>
      <w:tcPr>
        <w:tcBorders>
          <w:top w:val="single" w:color="B2A1C6" w:themeColor="accent4" w:themeTint="9A" w:sz="4" w:space="0"/>
          <w:bottom w:val="single" w:color="B2A1C6" w:themeColor="accent4" w:themeTint="9A" w:sz="4" w:space="0"/>
        </w:tcBorders>
      </w:tcPr>
    </w:tblStylePr>
  </w:style>
  <w:style w:type="table" w:customStyle="1" w:styleId="135">
    <w:name w:val="List Table 3 - Accent 5"/>
    <w:autoRedefine/>
    <w:qFormat/>
    <w:uiPriority w:val="99"/>
    <w:pPr>
      <w:spacing w:after="0" w:line="240" w:lineRule="auto"/>
    </w:pPr>
    <w:tblPr>
      <w:tblBorders>
        <w:top w:val="single" w:color="92CCDC" w:themeColor="accent5" w:themeTint="9A" w:sz="4" w:space="0"/>
        <w:left w:val="single" w:color="92CCDC" w:themeColor="accent5" w:themeTint="9A" w:sz="4" w:space="0"/>
        <w:bottom w:val="single" w:color="92CCDC" w:themeColor="accent5" w:themeTint="9A" w:sz="4" w:space="0"/>
        <w:right w:val="single" w:color="92CCDC" w:themeColor="accent5" w:themeTint="9A" w:sz="4" w:space="0"/>
      </w:tblBorders>
    </w:tblPr>
    <w:tblStylePr w:type="firstRow">
      <w:rPr>
        <w:rFonts w:ascii="Arial" w:hAnsi="Arial"/>
        <w:b/>
        <w:color w:val="FFFFFF"/>
        <w:sz w:val="22"/>
      </w:r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92CCDC" w:themeColor="accent5" w:themeTint="9A" w:sz="4" w:space="0"/>
          <w:right w:val="single" w:color="92CCDC" w:themeColor="accent5" w:themeTint="9A" w:sz="4" w:space="0"/>
        </w:tcBorders>
      </w:tcPr>
    </w:tblStylePr>
    <w:tblStylePr w:type="band1Horz">
      <w:rPr>
        <w:rFonts w:ascii="Arial" w:hAnsi="Arial"/>
        <w:color w:val="404040"/>
        <w:sz w:val="22"/>
      </w:rPr>
      <w:tcPr>
        <w:tcBorders>
          <w:top w:val="single" w:color="92CCDC" w:themeColor="accent5" w:themeTint="9A" w:sz="4" w:space="0"/>
          <w:bottom w:val="single" w:color="92CCDC" w:themeColor="accent5" w:themeTint="9A" w:sz="4" w:space="0"/>
        </w:tcBorders>
      </w:tcPr>
    </w:tblStylePr>
  </w:style>
  <w:style w:type="table" w:customStyle="1" w:styleId="136">
    <w:name w:val="List Table 3 - Accent 6"/>
    <w:autoRedefine/>
    <w:qFormat/>
    <w:uiPriority w:val="99"/>
    <w:pPr>
      <w:spacing w:after="0" w:line="240" w:lineRule="auto"/>
    </w:pPr>
    <w:tblPr>
      <w:tblBorders>
        <w:top w:val="single" w:color="FAC090" w:themeColor="accent6" w:themeTint="98" w:sz="4" w:space="0"/>
        <w:left w:val="single" w:color="FAC090" w:themeColor="accent6" w:themeTint="98" w:sz="4" w:space="0"/>
        <w:bottom w:val="single" w:color="FAC090" w:themeColor="accent6" w:themeTint="98" w:sz="4" w:space="0"/>
        <w:right w:val="single" w:color="FAC090" w:themeColor="accent6" w:themeTint="98" w:sz="4" w:space="0"/>
      </w:tblBorders>
    </w:tblPr>
    <w:tblStylePr w:type="firstRow">
      <w:rPr>
        <w:rFonts w:ascii="Arial" w:hAnsi="Arial"/>
        <w:b/>
        <w:color w:val="FFFFFF"/>
        <w:sz w:val="22"/>
      </w:r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FAC090" w:themeColor="accent6" w:themeTint="98" w:sz="4" w:space="0"/>
          <w:right w:val="single" w:color="FAC090" w:themeColor="accent6" w:themeTint="98" w:sz="4" w:space="0"/>
        </w:tcBorders>
      </w:tcPr>
    </w:tblStylePr>
    <w:tblStylePr w:type="band1Horz">
      <w:rPr>
        <w:rFonts w:ascii="Arial" w:hAnsi="Arial"/>
        <w:color w:val="404040"/>
        <w:sz w:val="22"/>
      </w:rPr>
      <w:tcPr>
        <w:tcBorders>
          <w:top w:val="single" w:color="FAC090" w:themeColor="accent6" w:themeTint="98" w:sz="4" w:space="0"/>
          <w:bottom w:val="single" w:color="FAC090" w:themeColor="accent6" w:themeTint="98" w:sz="4" w:space="0"/>
        </w:tcBorders>
      </w:tcPr>
    </w:tblStylePr>
  </w:style>
  <w:style w:type="table" w:customStyle="1" w:styleId="137">
    <w:name w:val="List Table 4"/>
    <w:autoRedefine/>
    <w:qFormat/>
    <w:uiPriority w:val="9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blStylePr w:type="firstRow">
      <w:rPr>
        <w:rFonts w:ascii="Arial" w:hAnsi="Arial"/>
        <w:b/>
        <w:color w:val="FFFFFF"/>
        <w:sz w:val="22"/>
      </w:r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BEBEBE" w:themeColor="text1" w:themeTint="40" w:fill="BEBEBE" w:themeFill="text1" w:themeFillTint="40"/>
      </w:tcPr>
    </w:tblStylePr>
    <w:tblStylePr w:type="band1Horz">
      <w:rPr>
        <w:rFonts w:ascii="Arial" w:hAnsi="Arial"/>
        <w:color w:val="404040"/>
        <w:sz w:val="22"/>
      </w:rPr>
      <w:tcPr>
        <w:shd w:val="clear" w:color="BEBEBE" w:themeColor="text1" w:themeTint="40" w:fill="BEBEBE" w:themeFill="text1" w:themeFillTint="40"/>
      </w:tcPr>
    </w:tblStylePr>
  </w:style>
  <w:style w:type="table" w:customStyle="1" w:styleId="138">
    <w:name w:val="List Table 4 - Accent 1"/>
    <w:autoRedefine/>
    <w:qFormat/>
    <w:uiPriority w:val="99"/>
    <w:pPr>
      <w:spacing w:after="0" w:line="240" w:lineRule="auto"/>
    </w:pPr>
    <w:tblPr>
      <w:tblBorders>
        <w:top w:val="single" w:color="9BB7D9" w:themeColor="accent1" w:themeTint="90" w:sz="4" w:space="0"/>
        <w:left w:val="single" w:color="9BB7D9" w:themeColor="accent1" w:themeTint="90" w:sz="4" w:space="0"/>
        <w:bottom w:val="single" w:color="9BB7D9" w:themeColor="accent1" w:themeTint="90" w:sz="4" w:space="0"/>
        <w:right w:val="single" w:color="9BB7D9" w:themeColor="accent1" w:themeTint="90" w:sz="4" w:space="0"/>
        <w:insideH w:val="single" w:color="9BB7D9" w:themeColor="accent1" w:themeTint="90" w:sz="4" w:space="0"/>
      </w:tblBorders>
    </w:tblPr>
    <w:tblStylePr w:type="firstRow">
      <w:rPr>
        <w:rFonts w:ascii="Arial" w:hAnsi="Arial"/>
        <w:b/>
        <w:color w:val="FFFFFF"/>
        <w:sz w:val="22"/>
      </w:r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2DFEE" w:themeColor="accent1" w:themeTint="40" w:fill="D2DFEE" w:themeFill="accent1" w:themeFillTint="40"/>
      </w:tcPr>
    </w:tblStylePr>
    <w:tblStylePr w:type="band1Horz">
      <w:rPr>
        <w:rFonts w:ascii="Arial" w:hAnsi="Arial"/>
        <w:color w:val="404040"/>
        <w:sz w:val="22"/>
      </w:rPr>
      <w:tcPr>
        <w:shd w:val="clear" w:color="D2DFEE" w:themeColor="accent1" w:themeTint="40" w:fill="D2DFEE" w:themeFill="accent1" w:themeFillTint="40"/>
      </w:tcPr>
    </w:tblStylePr>
  </w:style>
  <w:style w:type="table" w:customStyle="1" w:styleId="139">
    <w:name w:val="List Table 4 - Accent 2"/>
    <w:autoRedefine/>
    <w:qFormat/>
    <w:uiPriority w:val="99"/>
    <w:pPr>
      <w:spacing w:after="0" w:line="240" w:lineRule="auto"/>
    </w:pPr>
    <w:tblPr>
      <w:tblBorders>
        <w:top w:val="single" w:color="DB9C9A" w:themeColor="accent2" w:themeTint="90" w:sz="4" w:space="0"/>
        <w:left w:val="single" w:color="DB9C9A" w:themeColor="accent2" w:themeTint="90" w:sz="4" w:space="0"/>
        <w:bottom w:val="single" w:color="DB9C9A" w:themeColor="accent2" w:themeTint="90" w:sz="4" w:space="0"/>
        <w:right w:val="single" w:color="DB9C9A" w:themeColor="accent2" w:themeTint="90" w:sz="4" w:space="0"/>
        <w:insideH w:val="single" w:color="DB9C9A" w:themeColor="accent2" w:themeTint="90" w:sz="4" w:space="0"/>
      </w:tblBorders>
    </w:tblPr>
    <w:tblStylePr w:type="firstRow">
      <w:rPr>
        <w:rFonts w:ascii="Arial" w:hAnsi="Arial"/>
        <w:b/>
        <w:color w:val="FFFFFF"/>
        <w:sz w:val="22"/>
      </w:r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EFD3D2" w:themeColor="accent2" w:themeTint="40" w:fill="EFD3D2" w:themeFill="accent2" w:themeFillTint="40"/>
      </w:tcPr>
    </w:tblStylePr>
    <w:tblStylePr w:type="band1Horz">
      <w:rPr>
        <w:rFonts w:ascii="Arial" w:hAnsi="Arial"/>
        <w:color w:val="404040"/>
        <w:sz w:val="22"/>
      </w:rPr>
      <w:tcPr>
        <w:shd w:val="clear" w:color="EFD3D2" w:themeColor="accent2" w:themeTint="40" w:fill="EFD3D2" w:themeFill="accent2" w:themeFillTint="40"/>
      </w:tcPr>
    </w:tblStylePr>
  </w:style>
  <w:style w:type="table" w:customStyle="1" w:styleId="140">
    <w:name w:val="List Table 4 - Accent 3"/>
    <w:autoRedefine/>
    <w:qFormat/>
    <w:uiPriority w:val="99"/>
    <w:pPr>
      <w:spacing w:after="0" w:line="240" w:lineRule="auto"/>
    </w:pPr>
    <w:tblPr>
      <w:tblBorders>
        <w:top w:val="single" w:color="C6D8A1" w:themeColor="accent3" w:themeTint="90" w:sz="4" w:space="0"/>
        <w:left w:val="single" w:color="C6D8A1" w:themeColor="accent3" w:themeTint="90" w:sz="4" w:space="0"/>
        <w:bottom w:val="single" w:color="C6D8A1" w:themeColor="accent3" w:themeTint="90" w:sz="4" w:space="0"/>
        <w:right w:val="single" w:color="C6D8A1" w:themeColor="accent3" w:themeTint="90" w:sz="4" w:space="0"/>
        <w:insideH w:val="single" w:color="C6D8A1" w:themeColor="accent3" w:themeTint="90" w:sz="4" w:space="0"/>
      </w:tblBorders>
    </w:tblPr>
    <w:tblStylePr w:type="firstRow">
      <w:rPr>
        <w:rFonts w:ascii="Arial" w:hAnsi="Arial"/>
        <w:b/>
        <w:color w:val="FFFFFF"/>
        <w:sz w:val="22"/>
      </w:r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E5EDD5" w:themeColor="accent3" w:themeTint="40" w:fill="E5EDD5" w:themeFill="accent3" w:themeFillTint="40"/>
      </w:tcPr>
    </w:tblStylePr>
    <w:tblStylePr w:type="band1Horz">
      <w:rPr>
        <w:rFonts w:ascii="Arial" w:hAnsi="Arial"/>
        <w:color w:val="404040"/>
        <w:sz w:val="22"/>
      </w:rPr>
      <w:tcPr>
        <w:shd w:val="clear" w:color="E5EDD5" w:themeColor="accent3" w:themeTint="40" w:fill="E5EDD5" w:themeFill="accent3" w:themeFillTint="40"/>
      </w:tcPr>
    </w:tblStylePr>
  </w:style>
  <w:style w:type="table" w:customStyle="1" w:styleId="141">
    <w:name w:val="List Table 4 - Accent 4"/>
    <w:autoRedefine/>
    <w:qFormat/>
    <w:uiPriority w:val="99"/>
    <w:pPr>
      <w:spacing w:after="0" w:line="240" w:lineRule="auto"/>
    </w:pPr>
    <w:tblPr>
      <w:tblBorders>
        <w:top w:val="single" w:color="B7A7CA" w:themeColor="accent4" w:themeTint="90" w:sz="4" w:space="0"/>
        <w:left w:val="single" w:color="B7A7CA" w:themeColor="accent4" w:themeTint="90" w:sz="4" w:space="0"/>
        <w:bottom w:val="single" w:color="B7A7CA" w:themeColor="accent4" w:themeTint="90" w:sz="4" w:space="0"/>
        <w:right w:val="single" w:color="B7A7CA" w:themeColor="accent4" w:themeTint="90" w:sz="4" w:space="0"/>
        <w:insideH w:val="single" w:color="B7A7CA" w:themeColor="accent4" w:themeTint="90" w:sz="4" w:space="0"/>
      </w:tblBorders>
    </w:tblPr>
    <w:tblStylePr w:type="firstRow">
      <w:rPr>
        <w:rFonts w:ascii="Arial" w:hAnsi="Arial"/>
        <w:b/>
        <w:color w:val="FFFFFF"/>
        <w:sz w:val="22"/>
      </w:r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FD8E7" w:themeColor="accent4" w:themeTint="40" w:fill="DFD8E7" w:themeFill="accent4" w:themeFillTint="40"/>
      </w:tcPr>
    </w:tblStylePr>
    <w:tblStylePr w:type="band1Horz">
      <w:rPr>
        <w:rFonts w:ascii="Arial" w:hAnsi="Arial"/>
        <w:color w:val="404040"/>
        <w:sz w:val="22"/>
      </w:rPr>
      <w:tcPr>
        <w:shd w:val="clear" w:color="DFD8E7" w:themeColor="accent4" w:themeTint="40" w:fill="DFD8E7" w:themeFill="accent4" w:themeFillTint="40"/>
      </w:tcPr>
    </w:tblStylePr>
  </w:style>
  <w:style w:type="table" w:customStyle="1" w:styleId="142">
    <w:name w:val="List Table 4 - Accent 5"/>
    <w:autoRedefine/>
    <w:qFormat/>
    <w:uiPriority w:val="99"/>
    <w:pPr>
      <w:spacing w:after="0" w:line="240" w:lineRule="auto"/>
    </w:pPr>
    <w:tblPr>
      <w:tblBorders>
        <w:top w:val="single" w:color="99D0DE" w:themeColor="accent5" w:themeTint="90" w:sz="4" w:space="0"/>
        <w:left w:val="single" w:color="99D0DE" w:themeColor="accent5" w:themeTint="90" w:sz="4" w:space="0"/>
        <w:bottom w:val="single" w:color="99D0DE" w:themeColor="accent5" w:themeTint="90" w:sz="4" w:space="0"/>
        <w:right w:val="single" w:color="99D0DE" w:themeColor="accent5" w:themeTint="90" w:sz="4" w:space="0"/>
        <w:insideH w:val="single" w:color="99D0DE" w:themeColor="accent5" w:themeTint="90" w:sz="4" w:space="0"/>
      </w:tblBorders>
    </w:tblPr>
    <w:tblStylePr w:type="firstRow">
      <w:rPr>
        <w:rFonts w:ascii="Arial" w:hAnsi="Arial"/>
        <w:b/>
        <w:color w:val="FFFFFF"/>
        <w:sz w:val="22"/>
      </w:r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1EAF0" w:themeColor="accent5" w:themeTint="40" w:fill="D1EAF0" w:themeFill="accent5" w:themeFillTint="40"/>
      </w:tcPr>
    </w:tblStylePr>
    <w:tblStylePr w:type="band1Horz">
      <w:rPr>
        <w:rFonts w:ascii="Arial" w:hAnsi="Arial"/>
        <w:color w:val="404040"/>
        <w:sz w:val="22"/>
      </w:rPr>
      <w:tcPr>
        <w:shd w:val="clear" w:color="D1EAF0" w:themeColor="accent5" w:themeTint="40" w:fill="D1EAF0" w:themeFill="accent5" w:themeFillTint="40"/>
      </w:tcPr>
    </w:tblStylePr>
  </w:style>
  <w:style w:type="table" w:customStyle="1" w:styleId="143">
    <w:name w:val="List Table 4 - Accent 6"/>
    <w:autoRedefine/>
    <w:qFormat/>
    <w:uiPriority w:val="99"/>
    <w:pPr>
      <w:spacing w:after="0" w:line="240" w:lineRule="auto"/>
    </w:pPr>
    <w:tblPr>
      <w:tblBorders>
        <w:top w:val="single" w:color="FAC396" w:themeColor="accent6" w:themeTint="90" w:sz="4" w:space="0"/>
        <w:left w:val="single" w:color="FAC396" w:themeColor="accent6" w:themeTint="90" w:sz="4" w:space="0"/>
        <w:bottom w:val="single" w:color="FAC396" w:themeColor="accent6" w:themeTint="90" w:sz="4" w:space="0"/>
        <w:right w:val="single" w:color="FAC396" w:themeColor="accent6" w:themeTint="90" w:sz="4" w:space="0"/>
        <w:insideH w:val="single" w:color="FAC396" w:themeColor="accent6" w:themeTint="90" w:sz="4" w:space="0"/>
      </w:tblBorders>
    </w:tblPr>
    <w:tblStylePr w:type="firstRow">
      <w:rPr>
        <w:rFonts w:ascii="Arial" w:hAnsi="Arial"/>
        <w:b/>
        <w:color w:val="FFFFFF"/>
        <w:sz w:val="22"/>
      </w:r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CE4D0" w:themeColor="accent6" w:themeTint="40" w:fill="FCE4D0" w:themeFill="accent6" w:themeFillTint="40"/>
      </w:tcPr>
    </w:tblStylePr>
    <w:tblStylePr w:type="band1Horz">
      <w:rPr>
        <w:rFonts w:ascii="Arial" w:hAnsi="Arial"/>
        <w:color w:val="404040"/>
        <w:sz w:val="22"/>
      </w:rPr>
      <w:tcPr>
        <w:shd w:val="clear" w:color="FCE4D0" w:themeColor="accent6" w:themeTint="40" w:fill="FCE4D0" w:themeFill="accent6" w:themeFillTint="40"/>
      </w:tcPr>
    </w:tblStylePr>
  </w:style>
  <w:style w:type="table" w:customStyle="1" w:styleId="144">
    <w:name w:val="List Table 5 Dark"/>
    <w:autoRedefine/>
    <w:qFormat/>
    <w:uiPriority w:val="99"/>
    <w:pPr>
      <w:spacing w:after="0" w:line="240" w:lineRule="auto"/>
    </w:pPr>
    <w:tblPr>
      <w:tblBorders>
        <w:top w:val="single" w:color="7E7E7E" w:themeColor="text1" w:themeTint="80" w:sz="32" w:space="0"/>
        <w:left w:val="single" w:color="7E7E7E" w:themeColor="text1" w:themeTint="80" w:sz="32" w:space="0"/>
        <w:bottom w:val="single" w:color="7E7E7E" w:themeColor="text1" w:themeTint="80" w:sz="32" w:space="0"/>
        <w:right w:val="single" w:color="7E7E7E" w:themeColor="text1" w:themeTint="80" w:sz="32" w:space="0"/>
      </w:tblBorders>
    </w:tblPr>
    <w:tblStylePr w:type="firstRow">
      <w:rPr>
        <w:rFonts w:ascii="Arial" w:hAnsi="Arial"/>
        <w:b/>
        <w:color w:val="FFFFFF" w:themeColor="light1"/>
        <w:sz w:val="22"/>
        <w14:textFill>
          <w14:solidFill>
            <w14:schemeClr w14:val="lt1"/>
          </w14:solidFill>
        </w14:textFill>
      </w:rPr>
      <w:tcPr>
        <w:tcBorders>
          <w:top w:val="single" w:color="7E7E7E" w:themeColor="text1" w:themeTint="80" w:sz="32" w:space="0"/>
          <w:bottom w:val="single" w:color="FFFFFF" w:themeColor="light1" w:sz="12" w:space="0"/>
        </w:tcBorders>
        <w:shd w:val="clear" w:color="7E7E7E" w:themeColor="text1" w:themeTint="80" w:fill="7E7E7E" w:themeFill="text1" w:themeFillTint="80"/>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7E7E7E" w:themeColor="text1" w:themeTint="80" w:sz="32" w:space="0"/>
          <w:right w:val="single" w:color="FFFFFF" w:themeColor="light1" w:sz="4" w:space="0"/>
        </w:tcBorders>
      </w:tcPr>
    </w:tblStylePr>
    <w:tblStylePr w:type="lastCol">
      <w:tcPr>
        <w:tcBorders>
          <w:left w:val="single" w:color="FFFFFF" w:themeColor="light1" w:sz="4" w:space="0"/>
          <w:right w:val="single" w:color="7E7E7E" w:themeColor="text1" w:themeTint="80" w:sz="32" w:space="0"/>
        </w:tcBorders>
      </w:tcPr>
    </w:tblStylePr>
    <w:tblStylePr w:type="band1Vert">
      <w:tcPr>
        <w:tcBorders>
          <w:left w:val="single" w:color="FFFFFF" w:themeColor="light1" w:sz="4" w:space="0"/>
          <w:right w:val="single" w:color="FFFFFF" w:themeColor="light1" w:sz="4" w:space="0"/>
        </w:tcBorders>
        <w:shd w:val="clear" w:color="7E7E7E" w:themeColor="text1" w:themeTint="80" w:fill="7E7E7E" w:themeFill="text1" w:themeFillTint="80"/>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7E7E7E" w:themeColor="text1" w:themeTint="80" w:fill="7E7E7E" w:themeFill="text1" w:themeFillTint="80"/>
      </w:tcPr>
    </w:tblStylePr>
    <w:tblStylePr w:type="band2Horz">
      <w:tcPr>
        <w:tcBorders>
          <w:top w:val="single" w:color="FFFFFF" w:themeColor="light1" w:sz="4" w:space="0"/>
          <w:bottom w:val="single" w:color="FFFFFF" w:themeColor="light1" w:sz="4" w:space="0"/>
        </w:tcBorders>
        <w:shd w:val="clear" w:color="7E7E7E" w:themeColor="text1" w:themeTint="80" w:fill="7E7E7E" w:themeFill="text1" w:themeFillTint="80"/>
      </w:tcPr>
    </w:tblStylePr>
  </w:style>
  <w:style w:type="table" w:customStyle="1" w:styleId="145">
    <w:name w:val="List Table 5 Dark - Accent 1"/>
    <w:autoRedefine/>
    <w:qFormat/>
    <w:uiPriority w:val="99"/>
    <w:pPr>
      <w:spacing w:after="0" w:line="240" w:lineRule="auto"/>
    </w:pPr>
    <w:tblPr>
      <w:tblBorders>
        <w:top w:val="single" w:color="4F81BD" w:themeColor="accent1" w:sz="32" w:space="0"/>
        <w:left w:val="single" w:color="4F81BD" w:themeColor="accent1" w:sz="32" w:space="0"/>
        <w:bottom w:val="single" w:color="4F81BD" w:themeColor="accent1" w:sz="32" w:space="0"/>
        <w:right w:val="single" w:color="4F81BD" w:themeColor="accent1" w:sz="32" w:space="0"/>
      </w:tblBorders>
    </w:tblPr>
    <w:tblStylePr w:type="firstRow">
      <w:rPr>
        <w:rFonts w:ascii="Arial" w:hAnsi="Arial"/>
        <w:b/>
        <w:color w:val="FFFFFF" w:themeColor="light1"/>
        <w:sz w:val="22"/>
        <w14:textFill>
          <w14:solidFill>
            <w14:schemeClr w14:val="lt1"/>
          </w14:solidFill>
        </w14:textFill>
      </w:rPr>
      <w:tcPr>
        <w:tcBorders>
          <w:top w:val="single" w:color="4F81BD" w:themeColor="accent1" w:sz="32" w:space="0"/>
          <w:bottom w:val="single" w:color="FFFFFF" w:themeColor="light1" w:sz="12" w:space="0"/>
        </w:tcBorders>
        <w:shd w:val="clear" w:color="4F81BD" w:themeColor="accent1" w:fill="4F81BD" w:themeFill="accent1"/>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4F81BD" w:themeColor="accent1" w:sz="32" w:space="0"/>
          <w:right w:val="single" w:color="FFFFFF" w:themeColor="light1" w:sz="4" w:space="0"/>
        </w:tcBorders>
      </w:tcPr>
    </w:tblStylePr>
    <w:tblStylePr w:type="lastCol">
      <w:tcPr>
        <w:tcBorders>
          <w:left w:val="single" w:color="FFFFFF" w:themeColor="light1" w:sz="4" w:space="0"/>
          <w:right w:val="single" w:color="4F81BD" w:themeColor="accent1" w:sz="32" w:space="0"/>
        </w:tcBorders>
      </w:tcPr>
    </w:tblStylePr>
    <w:tblStylePr w:type="band1Vert">
      <w:tcPr>
        <w:tcBorders>
          <w:left w:val="single" w:color="FFFFFF" w:themeColor="light1" w:sz="4" w:space="0"/>
          <w:right w:val="single" w:color="FFFFFF" w:themeColor="light1" w:sz="4" w:space="0"/>
        </w:tcBorders>
        <w:shd w:val="clear" w:color="4F81BD" w:themeColor="accent1" w:fill="4F81BD" w:themeFill="accent1"/>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4F81BD" w:themeColor="accent1" w:fill="4F81BD" w:themeFill="accent1"/>
      </w:tcPr>
    </w:tblStylePr>
    <w:tblStylePr w:type="band2Horz">
      <w:tcPr>
        <w:tcBorders>
          <w:top w:val="single" w:color="FFFFFF" w:themeColor="light1" w:sz="4" w:space="0"/>
          <w:bottom w:val="single" w:color="FFFFFF" w:themeColor="light1" w:sz="4" w:space="0"/>
        </w:tcBorders>
        <w:shd w:val="clear" w:color="4F81BD" w:themeColor="accent1" w:fill="4F81BD" w:themeFill="accent1"/>
      </w:tcPr>
    </w:tblStylePr>
  </w:style>
  <w:style w:type="table" w:customStyle="1" w:styleId="146">
    <w:name w:val="List Table 5 Dark - Accent 2"/>
    <w:autoRedefine/>
    <w:qFormat/>
    <w:uiPriority w:val="99"/>
    <w:pPr>
      <w:spacing w:after="0" w:line="240" w:lineRule="auto"/>
    </w:pPr>
    <w:tblPr>
      <w:tblBorders>
        <w:top w:val="single" w:color="D99795" w:themeColor="accent2" w:themeTint="97" w:sz="32" w:space="0"/>
        <w:left w:val="single" w:color="D99795" w:themeColor="accent2" w:themeTint="97" w:sz="32" w:space="0"/>
        <w:bottom w:val="single" w:color="D99795" w:themeColor="accent2" w:themeTint="97" w:sz="32" w:space="0"/>
        <w:right w:val="single" w:color="D99795" w:themeColor="accent2" w:themeTint="97" w:sz="32" w:space="0"/>
      </w:tblBorders>
    </w:tblPr>
    <w:tblStylePr w:type="firstRow">
      <w:rPr>
        <w:rFonts w:ascii="Arial" w:hAnsi="Arial"/>
        <w:b/>
        <w:color w:val="FFFFFF" w:themeColor="light1"/>
        <w:sz w:val="22"/>
        <w14:textFill>
          <w14:solidFill>
            <w14:schemeClr w14:val="lt1"/>
          </w14:solidFill>
        </w14:textFill>
      </w:rPr>
      <w:tcPr>
        <w:tcBorders>
          <w:top w:val="single" w:color="D99795" w:themeColor="accent2" w:themeTint="97" w:sz="32" w:space="0"/>
          <w:bottom w:val="single" w:color="FFFFFF" w:themeColor="light1" w:sz="12" w:space="0"/>
        </w:tcBorders>
        <w:shd w:val="clear" w:color="D99795" w:themeColor="accent2" w:themeTint="97" w:fill="D99795" w:themeFill="accent2" w:themeFillTint="97"/>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D99795" w:themeColor="accent2" w:themeTint="97" w:sz="32" w:space="0"/>
          <w:right w:val="single" w:color="FFFFFF" w:themeColor="light1" w:sz="4" w:space="0"/>
        </w:tcBorders>
      </w:tcPr>
    </w:tblStylePr>
    <w:tblStylePr w:type="lastCol">
      <w:tcPr>
        <w:tcBorders>
          <w:left w:val="single" w:color="FFFFFF" w:themeColor="light1" w:sz="4" w:space="0"/>
          <w:right w:val="single" w:color="D99795" w:themeColor="accent2" w:themeTint="97" w:sz="32" w:space="0"/>
        </w:tcBorders>
      </w:tcPr>
    </w:tblStylePr>
    <w:tblStylePr w:type="band1Vert">
      <w:tcPr>
        <w:tcBorders>
          <w:left w:val="single" w:color="FFFFFF" w:themeColor="light1" w:sz="4" w:space="0"/>
          <w:right w:val="single" w:color="FFFFFF" w:themeColor="light1" w:sz="4" w:space="0"/>
        </w:tcBorders>
        <w:shd w:val="clear" w:color="D99795" w:themeColor="accent2" w:themeTint="97" w:fill="D99795" w:themeFill="accent2" w:themeFillTint="97"/>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D99795" w:themeColor="accent2" w:themeTint="97" w:fill="D99795" w:themeFill="accent2" w:themeFillTint="97"/>
      </w:tcPr>
    </w:tblStylePr>
    <w:tblStylePr w:type="band2Horz">
      <w:tcPr>
        <w:tcBorders>
          <w:top w:val="single" w:color="FFFFFF" w:themeColor="light1" w:sz="4" w:space="0"/>
          <w:bottom w:val="single" w:color="FFFFFF" w:themeColor="light1" w:sz="4" w:space="0"/>
        </w:tcBorders>
        <w:shd w:val="clear" w:color="D99795" w:themeColor="accent2" w:themeTint="97" w:fill="D99795" w:themeFill="accent2" w:themeFillTint="97"/>
      </w:tcPr>
    </w:tblStylePr>
  </w:style>
  <w:style w:type="table" w:customStyle="1" w:styleId="147">
    <w:name w:val="List Table 5 Dark - Accent 3"/>
    <w:autoRedefine/>
    <w:qFormat/>
    <w:uiPriority w:val="99"/>
    <w:pPr>
      <w:spacing w:after="0" w:line="240" w:lineRule="auto"/>
    </w:pPr>
    <w:tblPr>
      <w:tblBorders>
        <w:top w:val="single" w:color="C3D69C" w:themeColor="accent3" w:themeTint="98" w:sz="32" w:space="0"/>
        <w:left w:val="single" w:color="C3D69C" w:themeColor="accent3" w:themeTint="98" w:sz="32" w:space="0"/>
        <w:bottom w:val="single" w:color="C3D69C" w:themeColor="accent3" w:themeTint="98" w:sz="32" w:space="0"/>
        <w:right w:val="single" w:color="C3D69C" w:themeColor="accent3" w:themeTint="98" w:sz="32" w:space="0"/>
      </w:tblBorders>
    </w:tblPr>
    <w:tblStylePr w:type="firstRow">
      <w:rPr>
        <w:rFonts w:ascii="Arial" w:hAnsi="Arial"/>
        <w:b/>
        <w:color w:val="FFFFFF" w:themeColor="light1"/>
        <w:sz w:val="22"/>
        <w14:textFill>
          <w14:solidFill>
            <w14:schemeClr w14:val="lt1"/>
          </w14:solidFill>
        </w14:textFill>
      </w:rPr>
      <w:tcPr>
        <w:tcBorders>
          <w:top w:val="single" w:color="C3D69C" w:themeColor="accent3" w:themeTint="98" w:sz="32" w:space="0"/>
          <w:bottom w:val="single" w:color="FFFFFF" w:themeColor="light1" w:sz="12" w:space="0"/>
        </w:tcBorders>
        <w:shd w:val="clear" w:color="C3D69C" w:themeColor="accent3" w:themeTint="98" w:fill="C3D69C" w:themeFill="accent3" w:themeFillTint="98"/>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C3D69C" w:themeColor="accent3" w:themeTint="98" w:sz="32" w:space="0"/>
          <w:right w:val="single" w:color="FFFFFF" w:themeColor="light1" w:sz="4" w:space="0"/>
        </w:tcBorders>
      </w:tcPr>
    </w:tblStylePr>
    <w:tblStylePr w:type="lastCol">
      <w:tcPr>
        <w:tcBorders>
          <w:left w:val="single" w:color="FFFFFF" w:themeColor="light1" w:sz="4" w:space="0"/>
          <w:right w:val="single" w:color="C3D69C" w:themeColor="accent3" w:themeTint="98" w:sz="32" w:space="0"/>
        </w:tcBorders>
      </w:tcPr>
    </w:tblStylePr>
    <w:tblStylePr w:type="band1Vert">
      <w:tcPr>
        <w:tcBorders>
          <w:left w:val="single" w:color="FFFFFF" w:themeColor="light1" w:sz="4" w:space="0"/>
          <w:right w:val="single" w:color="FFFFFF" w:themeColor="light1" w:sz="4" w:space="0"/>
        </w:tcBorders>
        <w:shd w:val="clear" w:color="C3D69C" w:themeColor="accent3" w:themeTint="98" w:fill="C3D69C" w:themeFill="accent3" w:themeFillTint="98"/>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C3D69C" w:themeColor="accent3" w:themeTint="98" w:fill="C3D69C" w:themeFill="accent3" w:themeFillTint="98"/>
      </w:tcPr>
    </w:tblStylePr>
    <w:tblStylePr w:type="band2Horz">
      <w:tcPr>
        <w:tcBorders>
          <w:top w:val="single" w:color="FFFFFF" w:themeColor="light1" w:sz="4" w:space="0"/>
          <w:bottom w:val="single" w:color="FFFFFF" w:themeColor="light1" w:sz="4" w:space="0"/>
        </w:tcBorders>
        <w:shd w:val="clear" w:color="C3D69C" w:themeColor="accent3" w:themeTint="98" w:fill="C3D69C" w:themeFill="accent3" w:themeFillTint="98"/>
      </w:tcPr>
    </w:tblStylePr>
  </w:style>
  <w:style w:type="table" w:customStyle="1" w:styleId="148">
    <w:name w:val="List Table 5 Dark - Accent 4"/>
    <w:autoRedefine/>
    <w:qFormat/>
    <w:uiPriority w:val="99"/>
    <w:pPr>
      <w:spacing w:after="0" w:line="240" w:lineRule="auto"/>
    </w:pPr>
    <w:tblPr>
      <w:tblBorders>
        <w:top w:val="single" w:color="B2A1C6" w:themeColor="accent4" w:themeTint="9A" w:sz="32" w:space="0"/>
        <w:left w:val="single" w:color="B2A1C6" w:themeColor="accent4" w:themeTint="9A" w:sz="32" w:space="0"/>
        <w:bottom w:val="single" w:color="B2A1C6" w:themeColor="accent4" w:themeTint="9A" w:sz="32" w:space="0"/>
        <w:right w:val="single" w:color="B2A1C6" w:themeColor="accent4" w:themeTint="9A" w:sz="32" w:space="0"/>
      </w:tblBorders>
    </w:tblPr>
    <w:tblStylePr w:type="firstRow">
      <w:rPr>
        <w:rFonts w:ascii="Arial" w:hAnsi="Arial"/>
        <w:b/>
        <w:color w:val="FFFFFF" w:themeColor="light1"/>
        <w:sz w:val="22"/>
        <w14:textFill>
          <w14:solidFill>
            <w14:schemeClr w14:val="lt1"/>
          </w14:solidFill>
        </w14:textFill>
      </w:rPr>
      <w:tcPr>
        <w:tcBorders>
          <w:top w:val="single" w:color="B2A1C6" w:themeColor="accent4" w:themeTint="9A" w:sz="32" w:space="0"/>
          <w:bottom w:val="single" w:color="FFFFFF" w:themeColor="light1" w:sz="12" w:space="0"/>
        </w:tcBorders>
        <w:shd w:val="clear" w:color="B2A1C6" w:themeColor="accent4" w:themeTint="9A" w:fill="B2A1C6" w:themeFill="accent4" w:themeFillTint="9A"/>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B2A1C6" w:themeColor="accent4" w:themeTint="9A" w:sz="32" w:space="0"/>
          <w:right w:val="single" w:color="FFFFFF" w:themeColor="light1" w:sz="4" w:space="0"/>
        </w:tcBorders>
      </w:tcPr>
    </w:tblStylePr>
    <w:tblStylePr w:type="lastCol">
      <w:tcPr>
        <w:tcBorders>
          <w:left w:val="single" w:color="FFFFFF" w:themeColor="light1" w:sz="4" w:space="0"/>
          <w:right w:val="single" w:color="B2A1C6" w:themeColor="accent4" w:themeTint="9A" w:sz="32" w:space="0"/>
        </w:tcBorders>
      </w:tcPr>
    </w:tblStylePr>
    <w:tblStylePr w:type="band1Vert">
      <w:tcPr>
        <w:tcBorders>
          <w:left w:val="single" w:color="FFFFFF" w:themeColor="light1" w:sz="4" w:space="0"/>
          <w:right w:val="single" w:color="FFFFFF" w:themeColor="light1" w:sz="4" w:space="0"/>
        </w:tcBorders>
        <w:shd w:val="clear" w:color="B2A1C6" w:themeColor="accent4" w:themeTint="9A" w:fill="B2A1C6" w:themeFill="accent4" w:themeFillTint="9A"/>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B2A1C6" w:themeColor="accent4" w:themeTint="9A" w:fill="B2A1C6" w:themeFill="accent4" w:themeFillTint="9A"/>
      </w:tcPr>
    </w:tblStylePr>
    <w:tblStylePr w:type="band2Horz">
      <w:tcPr>
        <w:tcBorders>
          <w:top w:val="single" w:color="FFFFFF" w:themeColor="light1" w:sz="4" w:space="0"/>
          <w:bottom w:val="single" w:color="FFFFFF" w:themeColor="light1" w:sz="4" w:space="0"/>
        </w:tcBorders>
        <w:shd w:val="clear" w:color="B2A1C6" w:themeColor="accent4" w:themeTint="9A" w:fill="B2A1C6" w:themeFill="accent4" w:themeFillTint="9A"/>
      </w:tcPr>
    </w:tblStylePr>
  </w:style>
  <w:style w:type="table" w:customStyle="1" w:styleId="149">
    <w:name w:val="List Table 5 Dark - Accent 5"/>
    <w:autoRedefine/>
    <w:qFormat/>
    <w:uiPriority w:val="99"/>
    <w:pPr>
      <w:spacing w:after="0" w:line="240" w:lineRule="auto"/>
    </w:pPr>
    <w:tblPr>
      <w:tblBorders>
        <w:top w:val="single" w:color="92CCDC" w:themeColor="accent5" w:themeTint="9A" w:sz="32" w:space="0"/>
        <w:left w:val="single" w:color="92CCDC" w:themeColor="accent5" w:themeTint="9A" w:sz="32" w:space="0"/>
        <w:bottom w:val="single" w:color="92CCDC" w:themeColor="accent5" w:themeTint="9A" w:sz="32" w:space="0"/>
        <w:right w:val="single" w:color="92CCDC" w:themeColor="accent5" w:themeTint="9A" w:sz="32" w:space="0"/>
      </w:tblBorders>
    </w:tblPr>
    <w:tblStylePr w:type="firstRow">
      <w:rPr>
        <w:rFonts w:ascii="Arial" w:hAnsi="Arial"/>
        <w:b/>
        <w:color w:val="FFFFFF" w:themeColor="light1"/>
        <w:sz w:val="22"/>
        <w14:textFill>
          <w14:solidFill>
            <w14:schemeClr w14:val="lt1"/>
          </w14:solidFill>
        </w14:textFill>
      </w:rPr>
      <w:tcPr>
        <w:tcBorders>
          <w:top w:val="single" w:color="92CCDC" w:themeColor="accent5" w:themeTint="9A" w:sz="32" w:space="0"/>
          <w:bottom w:val="single" w:color="FFFFFF" w:themeColor="light1" w:sz="12" w:space="0"/>
        </w:tcBorders>
        <w:shd w:val="clear" w:color="92CCDC" w:themeColor="accent5" w:themeTint="9A" w:fill="92CCDC" w:themeFill="accent5" w:themeFillTint="9A"/>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92CCDC" w:themeColor="accent5" w:themeTint="9A" w:sz="32" w:space="0"/>
          <w:right w:val="single" w:color="FFFFFF" w:themeColor="light1" w:sz="4" w:space="0"/>
        </w:tcBorders>
      </w:tcPr>
    </w:tblStylePr>
    <w:tblStylePr w:type="lastCol">
      <w:tcPr>
        <w:tcBorders>
          <w:left w:val="single" w:color="FFFFFF" w:themeColor="light1" w:sz="4" w:space="0"/>
          <w:right w:val="single" w:color="92CCDC" w:themeColor="accent5" w:themeTint="9A" w:sz="32" w:space="0"/>
        </w:tcBorders>
      </w:tcPr>
    </w:tblStylePr>
    <w:tblStylePr w:type="band1Vert">
      <w:tcPr>
        <w:tcBorders>
          <w:left w:val="single" w:color="FFFFFF" w:themeColor="light1" w:sz="4" w:space="0"/>
          <w:right w:val="single" w:color="FFFFFF" w:themeColor="light1" w:sz="4" w:space="0"/>
        </w:tcBorders>
        <w:shd w:val="clear" w:color="92CCDC" w:themeColor="accent5" w:themeTint="9A" w:fill="92CCDC" w:themeFill="accent5" w:themeFillTint="9A"/>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92CCDC" w:themeColor="accent5" w:themeTint="9A" w:fill="92CCDC" w:themeFill="accent5" w:themeFillTint="9A"/>
      </w:tcPr>
    </w:tblStylePr>
    <w:tblStylePr w:type="band2Horz">
      <w:tcPr>
        <w:tcBorders>
          <w:top w:val="single" w:color="FFFFFF" w:themeColor="light1" w:sz="4" w:space="0"/>
          <w:bottom w:val="single" w:color="FFFFFF" w:themeColor="light1" w:sz="4" w:space="0"/>
        </w:tcBorders>
        <w:shd w:val="clear" w:color="92CCDC" w:themeColor="accent5" w:themeTint="9A" w:fill="92CCDC" w:themeFill="accent5" w:themeFillTint="9A"/>
      </w:tcPr>
    </w:tblStylePr>
  </w:style>
  <w:style w:type="table" w:customStyle="1" w:styleId="150">
    <w:name w:val="List Table 5 Dark - Accent 6"/>
    <w:autoRedefine/>
    <w:qFormat/>
    <w:uiPriority w:val="99"/>
    <w:pPr>
      <w:spacing w:after="0" w:line="240" w:lineRule="auto"/>
    </w:pPr>
    <w:tblPr>
      <w:tblBorders>
        <w:top w:val="single" w:color="FAC090" w:themeColor="accent6" w:themeTint="98" w:sz="32" w:space="0"/>
        <w:left w:val="single" w:color="FAC090" w:themeColor="accent6" w:themeTint="98" w:sz="32" w:space="0"/>
        <w:bottom w:val="single" w:color="FAC090" w:themeColor="accent6" w:themeTint="98" w:sz="32" w:space="0"/>
        <w:right w:val="single" w:color="FAC090" w:themeColor="accent6" w:themeTint="98" w:sz="32" w:space="0"/>
      </w:tblBorders>
    </w:tblPr>
    <w:tblStylePr w:type="firstRow">
      <w:rPr>
        <w:rFonts w:ascii="Arial" w:hAnsi="Arial"/>
        <w:b/>
        <w:color w:val="FFFFFF" w:themeColor="light1"/>
        <w:sz w:val="22"/>
        <w14:textFill>
          <w14:solidFill>
            <w14:schemeClr w14:val="lt1"/>
          </w14:solidFill>
        </w14:textFill>
      </w:rPr>
      <w:tcPr>
        <w:tcBorders>
          <w:top w:val="single" w:color="FAC090" w:themeColor="accent6" w:themeTint="98" w:sz="32" w:space="0"/>
          <w:bottom w:val="single" w:color="FFFFFF" w:themeColor="light1" w:sz="12" w:space="0"/>
        </w:tcBorders>
        <w:shd w:val="clear" w:color="FAC090" w:themeColor="accent6" w:themeTint="98" w:fill="FAC090" w:themeFill="accent6" w:themeFillTint="98"/>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FAC090" w:themeColor="accent6" w:themeTint="98" w:sz="32" w:space="0"/>
          <w:right w:val="single" w:color="FFFFFF" w:themeColor="light1" w:sz="4" w:space="0"/>
        </w:tcBorders>
      </w:tcPr>
    </w:tblStylePr>
    <w:tblStylePr w:type="lastCol">
      <w:tcPr>
        <w:tcBorders>
          <w:left w:val="single" w:color="FFFFFF" w:themeColor="light1" w:sz="4" w:space="0"/>
          <w:right w:val="single" w:color="FAC090" w:themeColor="accent6" w:themeTint="98" w:sz="32" w:space="0"/>
        </w:tcBorders>
      </w:tcPr>
    </w:tblStylePr>
    <w:tblStylePr w:type="band1Vert">
      <w:tcPr>
        <w:tcBorders>
          <w:left w:val="single" w:color="FFFFFF" w:themeColor="light1" w:sz="4" w:space="0"/>
          <w:right w:val="single" w:color="FFFFFF" w:themeColor="light1" w:sz="4" w:space="0"/>
        </w:tcBorders>
        <w:shd w:val="clear" w:color="FAC090" w:themeColor="accent6" w:themeTint="98" w:fill="FAC090" w:themeFill="accent6" w:themeFillTint="98"/>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FAC090" w:themeColor="accent6" w:themeTint="98" w:fill="FAC090" w:themeFill="accent6" w:themeFillTint="98"/>
      </w:tcPr>
    </w:tblStylePr>
    <w:tblStylePr w:type="band2Horz">
      <w:tcPr>
        <w:tcBorders>
          <w:top w:val="single" w:color="FFFFFF" w:themeColor="light1" w:sz="4" w:space="0"/>
          <w:bottom w:val="single" w:color="FFFFFF" w:themeColor="light1" w:sz="4" w:space="0"/>
        </w:tcBorders>
        <w:shd w:val="clear" w:color="FAC090" w:themeColor="accent6" w:themeTint="98" w:fill="FAC090" w:themeFill="accent6" w:themeFillTint="98"/>
      </w:tcPr>
    </w:tblStylePr>
  </w:style>
  <w:style w:type="table" w:customStyle="1" w:styleId="151">
    <w:name w:val="List Table 6 Colorful"/>
    <w:autoRedefine/>
    <w:qFormat/>
    <w:uiPriority w:val="99"/>
    <w:pPr>
      <w:spacing w:after="0" w:line="240" w:lineRule="auto"/>
    </w:pPr>
    <w:tblPr>
      <w:tblBorders>
        <w:top w:val="single" w:color="7E7E7E" w:themeColor="text1" w:themeTint="80" w:sz="4" w:space="0"/>
        <w:bottom w:val="single" w:color="7E7E7E" w:themeColor="text1" w:themeTint="80" w:sz="4" w:space="0"/>
      </w:tblBorders>
    </w:tblPr>
    <w:tblStylePr w:type="firstRow">
      <w:rPr>
        <w:b/>
        <w:color w:val="000000" w:themeColor="text1"/>
        <w14:textFill>
          <w14:solidFill>
            <w14:schemeClr w14:val="tx1"/>
          </w14:solidFill>
        </w14:textFill>
      </w:rPr>
      <w:tcPr>
        <w:tcBorders>
          <w:bottom w:val="single" w:color="7E7E7E" w:themeColor="text1" w:themeTint="80" w:sz="4" w:space="0"/>
        </w:tcBorders>
      </w:tcPr>
    </w:tblStylePr>
    <w:tblStylePr w:type="lastRow">
      <w:rPr>
        <w:b/>
        <w:color w:val="000000" w:themeColor="text1"/>
        <w14:textFill>
          <w14:solidFill>
            <w14:schemeClr w14:val="tx1"/>
          </w14:solidFill>
        </w14:textFill>
      </w:rPr>
      <w:tcPr>
        <w:tcBorders>
          <w:top w:val="single" w:color="7E7E7E" w:themeColor="text1" w:themeTint="80" w:sz="4" w:space="0"/>
        </w:tcBorders>
      </w:tcPr>
    </w:tblStylePr>
    <w:tblStylePr w:type="firstCol">
      <w:rPr>
        <w:b/>
        <w:color w:val="000000" w:themeColor="text1"/>
        <w14:textFill>
          <w14:solidFill>
            <w14:schemeClr w14:val="tx1"/>
          </w14:solidFill>
        </w14:textFill>
      </w:rPr>
    </w:tblStylePr>
    <w:tblStylePr w:type="lastCol">
      <w:rPr>
        <w:b/>
        <w:color w:val="000000" w:themeColor="text1"/>
        <w14:textFill>
          <w14:solidFill>
            <w14:schemeClr w14:val="tx1"/>
          </w14:solidFill>
        </w14:textFill>
      </w:rPr>
    </w:tblStylePr>
    <w:tblStylePr w:type="band1Vert">
      <w:tcPr>
        <w:shd w:val="clear" w:color="BEBEBE" w:themeColor="text1" w:themeTint="40" w:fill="BEBEBE" w:themeFill="text1" w:themeFillTint="40"/>
      </w:tcPr>
    </w:tblStylePr>
    <w:tblStylePr w:type="band1Horz">
      <w:rPr>
        <w:rFonts w:ascii="Arial" w:hAnsi="Arial"/>
        <w:color w:val="000000" w:themeColor="text1"/>
        <w:sz w:val="22"/>
        <w14:textFill>
          <w14:solidFill>
            <w14:schemeClr w14:val="tx1"/>
          </w14:solidFill>
        </w14:textFill>
      </w:rPr>
      <w:tcPr>
        <w:shd w:val="clear" w:color="BEBEBE" w:themeColor="text1" w:themeTint="40" w:fill="BEBEBE" w:themeFill="text1" w:themeFillTint="40"/>
      </w:tcPr>
    </w:tblStylePr>
    <w:tblStylePr w:type="band2Horz">
      <w:rPr>
        <w:rFonts w:ascii="Arial" w:hAnsi="Arial"/>
        <w:color w:val="000000" w:themeColor="text1"/>
        <w:sz w:val="22"/>
        <w14:textFill>
          <w14:solidFill>
            <w14:schemeClr w14:val="tx1"/>
          </w14:solidFill>
        </w14:textFill>
      </w:rPr>
    </w:tblStylePr>
  </w:style>
  <w:style w:type="table" w:customStyle="1" w:styleId="152">
    <w:name w:val="List Table 6 Colorful - Accent 1"/>
    <w:autoRedefine/>
    <w:qFormat/>
    <w:uiPriority w:val="99"/>
    <w:pPr>
      <w:spacing w:after="0" w:line="240" w:lineRule="auto"/>
    </w:pPr>
    <w:tblPr>
      <w:tblBorders>
        <w:top w:val="single" w:color="4F81BD" w:themeColor="accent1" w:sz="4" w:space="0"/>
        <w:bottom w:val="single" w:color="4F81BD" w:themeColor="accent1" w:sz="4" w:space="0"/>
      </w:tblBorders>
    </w:tblPr>
    <w:tblStylePr w:type="firstRow">
      <w:rPr>
        <w:b/>
        <w:color w:val="2A4B71" w:themeColor="accent1" w:themeShade="94"/>
      </w:rPr>
      <w:tcPr>
        <w:tcBorders>
          <w:bottom w:val="single" w:color="4F81BD" w:themeColor="accent1" w:sz="4" w:space="0"/>
        </w:tcBorders>
      </w:tcPr>
    </w:tblStylePr>
    <w:tblStylePr w:type="lastRow">
      <w:rPr>
        <w:b/>
        <w:color w:val="2A4B71" w:themeColor="accent1" w:themeShade="94"/>
      </w:rPr>
      <w:tcPr>
        <w:tcBorders>
          <w:top w:val="single" w:color="4F81BD" w:themeColor="accent1" w:sz="4" w:space="0"/>
        </w:tcBorders>
      </w:tcPr>
    </w:tblStylePr>
    <w:tblStylePr w:type="firstCol">
      <w:rPr>
        <w:b/>
        <w:color w:val="2A4B71" w:themeColor="accent1" w:themeShade="94"/>
      </w:rPr>
    </w:tblStylePr>
    <w:tblStylePr w:type="lastCol">
      <w:rPr>
        <w:b/>
        <w:color w:val="2A4B71" w:themeColor="accent1" w:themeShade="94"/>
      </w:rPr>
    </w:tblStylePr>
    <w:tblStylePr w:type="band1Vert">
      <w:tcPr>
        <w:shd w:val="clear" w:color="D2DFEE" w:themeColor="accent1" w:themeTint="40" w:fill="D2DFEE" w:themeFill="accent1" w:themeFillTint="40"/>
      </w:tcPr>
    </w:tblStylePr>
    <w:tblStylePr w:type="band1Horz">
      <w:rPr>
        <w:rFonts w:ascii="Arial" w:hAnsi="Arial"/>
        <w:color w:val="2A4B71" w:themeColor="accent1" w:themeShade="94"/>
        <w:sz w:val="22"/>
      </w:rPr>
      <w:tcPr>
        <w:shd w:val="clear" w:color="D2DFEE" w:themeColor="accent1" w:themeTint="40" w:fill="D2DFEE" w:themeFill="accent1" w:themeFillTint="40"/>
      </w:tcPr>
    </w:tblStylePr>
    <w:tblStylePr w:type="band2Horz">
      <w:rPr>
        <w:rFonts w:ascii="Arial" w:hAnsi="Arial"/>
        <w:color w:val="2A4B71" w:themeColor="accent1" w:themeShade="94"/>
        <w:sz w:val="22"/>
      </w:rPr>
    </w:tblStylePr>
  </w:style>
  <w:style w:type="table" w:customStyle="1" w:styleId="153">
    <w:name w:val="List Table 6 Colorful - Accent 2"/>
    <w:autoRedefine/>
    <w:qFormat/>
    <w:uiPriority w:val="99"/>
    <w:pPr>
      <w:spacing w:after="0" w:line="240" w:lineRule="auto"/>
    </w:pPr>
    <w:tblPr>
      <w:tblBorders>
        <w:top w:val="single" w:color="D99795" w:themeColor="accent2" w:themeTint="97" w:sz="4" w:space="0"/>
        <w:bottom w:val="single" w:color="D99795" w:themeColor="accent2" w:themeTint="97" w:sz="4" w:space="0"/>
      </w:tblBorders>
    </w:tblPr>
    <w:tblStylePr w:type="firstRow">
      <w:rPr>
        <w:b/>
        <w:color w:val="DA9896" w:themeColor="accent2" w:themeTint="96"/>
        <w14:textFill>
          <w14:solidFill>
            <w14:schemeClr w14:val="accent2">
              <w14:lumMod w14:val="59000"/>
              <w14:lumOff w14:val="41000"/>
            </w14:schemeClr>
          </w14:solidFill>
        </w14:textFill>
      </w:rPr>
      <w:tcPr>
        <w:tcBorders>
          <w:bottom w:val="single" w:color="D99795" w:themeColor="accent2" w:themeTint="97" w:sz="4" w:space="0"/>
        </w:tcBorders>
      </w:tcPr>
    </w:tblStylePr>
    <w:tblStylePr w:type="lastRow">
      <w:rPr>
        <w:b/>
        <w:color w:val="DA9896" w:themeColor="accent2" w:themeTint="96"/>
        <w14:textFill>
          <w14:solidFill>
            <w14:schemeClr w14:val="accent2">
              <w14:lumMod w14:val="59000"/>
              <w14:lumOff w14:val="41000"/>
            </w14:schemeClr>
          </w14:solidFill>
        </w14:textFill>
      </w:rPr>
      <w:tcPr>
        <w:tcBorders>
          <w:top w:val="single" w:color="D99795" w:themeColor="accent2" w:themeTint="97" w:sz="4" w:space="0"/>
        </w:tcBorders>
      </w:tcPr>
    </w:tblStylePr>
    <w:tblStylePr w:type="firstCol">
      <w:rPr>
        <w:b/>
        <w:color w:val="DA9896" w:themeColor="accent2" w:themeTint="96"/>
        <w14:textFill>
          <w14:solidFill>
            <w14:schemeClr w14:val="accent2">
              <w14:lumMod w14:val="59000"/>
              <w14:lumOff w14:val="41000"/>
            </w14:schemeClr>
          </w14:solidFill>
        </w14:textFill>
      </w:rPr>
    </w:tblStylePr>
    <w:tblStylePr w:type="lastCol">
      <w:rPr>
        <w:b/>
        <w:color w:val="DA9896" w:themeColor="accent2" w:themeTint="96"/>
        <w14:textFill>
          <w14:solidFill>
            <w14:schemeClr w14:val="accent2">
              <w14:lumMod w14:val="59000"/>
              <w14:lumOff w14:val="41000"/>
            </w14:schemeClr>
          </w14:solidFill>
        </w14:textFill>
      </w:rPr>
    </w:tblStylePr>
    <w:tblStylePr w:type="band1Vert">
      <w:tcPr>
        <w:shd w:val="clear" w:color="EFD3D2" w:themeColor="accent2" w:themeTint="40" w:fill="EFD3D2" w:themeFill="accent2" w:themeFillTint="40"/>
      </w:tcPr>
    </w:tblStylePr>
    <w:tblStylePr w:type="band1Horz">
      <w:rPr>
        <w:rFonts w:ascii="Arial" w:hAnsi="Arial"/>
        <w:color w:val="DA9896" w:themeColor="accent2" w:themeTint="96"/>
        <w:sz w:val="22"/>
        <w14:textFill>
          <w14:solidFill>
            <w14:schemeClr w14:val="accent2">
              <w14:lumMod w14:val="59000"/>
              <w14:lumOff w14:val="41000"/>
            </w14:schemeClr>
          </w14:solidFill>
        </w14:textFill>
      </w:rPr>
      <w:tcPr>
        <w:shd w:val="clear" w:color="EFD3D2" w:themeColor="accent2" w:themeTint="40" w:fill="EFD3D2" w:themeFill="accent2" w:themeFillTint="40"/>
      </w:tcPr>
    </w:tblStylePr>
    <w:tblStylePr w:type="band2Horz">
      <w:rPr>
        <w:rFonts w:ascii="Arial" w:hAnsi="Arial"/>
        <w:color w:val="DA9896" w:themeColor="accent2" w:themeTint="96"/>
        <w:sz w:val="22"/>
        <w14:textFill>
          <w14:solidFill>
            <w14:schemeClr w14:val="accent2">
              <w14:lumMod w14:val="59000"/>
              <w14:lumOff w14:val="41000"/>
            </w14:schemeClr>
          </w14:solidFill>
        </w14:textFill>
      </w:rPr>
    </w:tblStylePr>
  </w:style>
  <w:style w:type="table" w:customStyle="1" w:styleId="154">
    <w:name w:val="List Table 6 Colorful - Accent 3"/>
    <w:autoRedefine/>
    <w:qFormat/>
    <w:uiPriority w:val="99"/>
    <w:pPr>
      <w:spacing w:after="0" w:line="240" w:lineRule="auto"/>
    </w:pPr>
    <w:tblPr>
      <w:tblBorders>
        <w:top w:val="single" w:color="C3D69C" w:themeColor="accent3" w:themeTint="98" w:sz="4" w:space="0"/>
        <w:bottom w:val="single" w:color="C3D69C" w:themeColor="accent3" w:themeTint="98" w:sz="4" w:space="0"/>
      </w:tblBorders>
    </w:tblPr>
    <w:tblStylePr w:type="firstRow">
      <w:rPr>
        <w:b/>
        <w:color w:val="C3D69B" w:themeColor="accent3" w:themeTint="99"/>
        <w14:textFill>
          <w14:solidFill>
            <w14:schemeClr w14:val="accent3">
              <w14:lumMod w14:val="60000"/>
              <w14:lumOff w14:val="40000"/>
            </w14:schemeClr>
          </w14:solidFill>
        </w14:textFill>
      </w:rPr>
      <w:tcPr>
        <w:tcBorders>
          <w:bottom w:val="single" w:color="C3D69C" w:themeColor="accent3" w:themeTint="98" w:sz="4" w:space="0"/>
        </w:tcBorders>
      </w:tcPr>
    </w:tblStylePr>
    <w:tblStylePr w:type="lastRow">
      <w:rPr>
        <w:b/>
        <w:color w:val="C3D69B" w:themeColor="accent3" w:themeTint="99"/>
        <w14:textFill>
          <w14:solidFill>
            <w14:schemeClr w14:val="accent3">
              <w14:lumMod w14:val="60000"/>
              <w14:lumOff w14:val="40000"/>
            </w14:schemeClr>
          </w14:solidFill>
        </w14:textFill>
      </w:rPr>
      <w:tcPr>
        <w:tcBorders>
          <w:top w:val="single" w:color="C3D69C" w:themeColor="accent3" w:themeTint="98" w:sz="4" w:space="0"/>
        </w:tcBorders>
      </w:tcPr>
    </w:tblStylePr>
    <w:tblStylePr w:type="firstCol">
      <w:rPr>
        <w:b/>
        <w:color w:val="C3D69B" w:themeColor="accent3" w:themeTint="99"/>
        <w14:textFill>
          <w14:solidFill>
            <w14:schemeClr w14:val="accent3">
              <w14:lumMod w14:val="60000"/>
              <w14:lumOff w14:val="40000"/>
            </w14:schemeClr>
          </w14:solidFill>
        </w14:textFill>
      </w:rPr>
    </w:tblStylePr>
    <w:tblStylePr w:type="lastCol">
      <w:rPr>
        <w:b/>
        <w:color w:val="C3D69B" w:themeColor="accent3" w:themeTint="99"/>
        <w14:textFill>
          <w14:solidFill>
            <w14:schemeClr w14:val="accent3">
              <w14:lumMod w14:val="60000"/>
              <w14:lumOff w14:val="40000"/>
            </w14:schemeClr>
          </w14:solidFill>
        </w14:textFill>
      </w:rPr>
    </w:tblStylePr>
    <w:tblStylePr w:type="band1Vert">
      <w:tcPr>
        <w:shd w:val="clear" w:color="E5EDD5" w:themeColor="accent3" w:themeTint="40" w:fill="E5EDD5" w:themeFill="accent3" w:themeFillTint="40"/>
      </w:tcPr>
    </w:tblStylePr>
    <w:tblStylePr w:type="band1Horz">
      <w:rPr>
        <w:rFonts w:ascii="Arial" w:hAnsi="Arial"/>
        <w:color w:val="C3D69B" w:themeColor="accent3" w:themeTint="99"/>
        <w:sz w:val="22"/>
        <w14:textFill>
          <w14:solidFill>
            <w14:schemeClr w14:val="accent3">
              <w14:lumMod w14:val="60000"/>
              <w14:lumOff w14:val="40000"/>
            </w14:schemeClr>
          </w14:solidFill>
        </w14:textFill>
      </w:rPr>
      <w:tcPr>
        <w:shd w:val="clear" w:color="E5EDD5" w:themeColor="accent3" w:themeTint="40" w:fill="E5EDD5" w:themeFill="accent3" w:themeFillTint="40"/>
      </w:tcPr>
    </w:tblStylePr>
    <w:tblStylePr w:type="band2Horz">
      <w:rPr>
        <w:rFonts w:ascii="Arial" w:hAnsi="Arial"/>
        <w:color w:val="C3D69B" w:themeColor="accent3" w:themeTint="99"/>
        <w:sz w:val="22"/>
        <w14:textFill>
          <w14:solidFill>
            <w14:schemeClr w14:val="accent3">
              <w14:lumMod w14:val="60000"/>
              <w14:lumOff w14:val="40000"/>
            </w14:schemeClr>
          </w14:solidFill>
        </w14:textFill>
      </w:rPr>
    </w:tblStylePr>
  </w:style>
  <w:style w:type="table" w:customStyle="1" w:styleId="155">
    <w:name w:val="List Table 6 Colorful - Accent 4"/>
    <w:autoRedefine/>
    <w:qFormat/>
    <w:uiPriority w:val="99"/>
    <w:pPr>
      <w:spacing w:after="0" w:line="240" w:lineRule="auto"/>
    </w:pPr>
    <w:tblPr>
      <w:tblBorders>
        <w:top w:val="single" w:color="B2A1C6" w:themeColor="accent4" w:themeTint="9A" w:sz="4" w:space="0"/>
        <w:bottom w:val="single" w:color="B2A1C6" w:themeColor="accent4" w:themeTint="9A" w:sz="4" w:space="0"/>
      </w:tblBorders>
    </w:tblPr>
    <w:tblStylePr w:type="firstRow">
      <w:rPr>
        <w:b/>
        <w:color w:val="B3A2C7" w:themeColor="accent4" w:themeTint="99"/>
        <w14:textFill>
          <w14:solidFill>
            <w14:schemeClr w14:val="accent4">
              <w14:lumMod w14:val="60000"/>
              <w14:lumOff w14:val="40000"/>
            </w14:schemeClr>
          </w14:solidFill>
        </w14:textFill>
      </w:rPr>
      <w:tcPr>
        <w:tcBorders>
          <w:bottom w:val="single" w:color="B2A1C6" w:themeColor="accent4" w:themeTint="9A" w:sz="4" w:space="0"/>
        </w:tcBorders>
      </w:tcPr>
    </w:tblStylePr>
    <w:tblStylePr w:type="lastRow">
      <w:rPr>
        <w:b/>
        <w:color w:val="B3A2C7" w:themeColor="accent4" w:themeTint="99"/>
        <w14:textFill>
          <w14:solidFill>
            <w14:schemeClr w14:val="accent4">
              <w14:lumMod w14:val="60000"/>
              <w14:lumOff w14:val="40000"/>
            </w14:schemeClr>
          </w14:solidFill>
        </w14:textFill>
      </w:rPr>
      <w:tcPr>
        <w:tcBorders>
          <w:top w:val="single" w:color="B2A1C6" w:themeColor="accent4" w:themeTint="9A" w:sz="4" w:space="0"/>
        </w:tcBorders>
      </w:tcPr>
    </w:tblStylePr>
    <w:tblStylePr w:type="firstCol">
      <w:rPr>
        <w:b/>
        <w:color w:val="B3A2C7" w:themeColor="accent4" w:themeTint="99"/>
        <w14:textFill>
          <w14:solidFill>
            <w14:schemeClr w14:val="accent4">
              <w14:lumMod w14:val="60000"/>
              <w14:lumOff w14:val="40000"/>
            </w14:schemeClr>
          </w14:solidFill>
        </w14:textFill>
      </w:rPr>
    </w:tblStylePr>
    <w:tblStylePr w:type="lastCol">
      <w:rPr>
        <w:b/>
        <w:color w:val="B3A2C7" w:themeColor="accent4" w:themeTint="99"/>
        <w14:textFill>
          <w14:solidFill>
            <w14:schemeClr w14:val="accent4">
              <w14:lumMod w14:val="60000"/>
              <w14:lumOff w14:val="40000"/>
            </w14:schemeClr>
          </w14:solidFill>
        </w14:textFill>
      </w:rPr>
    </w:tblStylePr>
    <w:tblStylePr w:type="band1Vert">
      <w:tcPr>
        <w:shd w:val="clear" w:color="DFD8E7" w:themeColor="accent4" w:themeTint="40" w:fill="DFD8E7" w:themeFill="accent4" w:themeFillTint="40"/>
      </w:tcPr>
    </w:tblStylePr>
    <w:tblStylePr w:type="band1Horz">
      <w:rPr>
        <w:rFonts w:ascii="Arial" w:hAnsi="Arial"/>
        <w:color w:val="B3A2C7" w:themeColor="accent4" w:themeTint="99"/>
        <w:sz w:val="22"/>
        <w14:textFill>
          <w14:solidFill>
            <w14:schemeClr w14:val="accent4">
              <w14:lumMod w14:val="60000"/>
              <w14:lumOff w14:val="40000"/>
            </w14:schemeClr>
          </w14:solidFill>
        </w14:textFill>
      </w:rPr>
      <w:tcPr>
        <w:shd w:val="clear" w:color="DFD8E7" w:themeColor="accent4" w:themeTint="40" w:fill="DFD8E7" w:themeFill="accent4" w:themeFillTint="40"/>
      </w:tcPr>
    </w:tblStylePr>
    <w:tblStylePr w:type="band2Horz">
      <w:rPr>
        <w:rFonts w:ascii="Arial" w:hAnsi="Arial"/>
        <w:color w:val="B3A2C7" w:themeColor="accent4" w:themeTint="99"/>
        <w:sz w:val="22"/>
        <w14:textFill>
          <w14:solidFill>
            <w14:schemeClr w14:val="accent4">
              <w14:lumMod w14:val="60000"/>
              <w14:lumOff w14:val="40000"/>
            </w14:schemeClr>
          </w14:solidFill>
        </w14:textFill>
      </w:rPr>
    </w:tblStylePr>
  </w:style>
  <w:style w:type="table" w:customStyle="1" w:styleId="156">
    <w:name w:val="List Table 6 Colorful - Accent 5"/>
    <w:autoRedefine/>
    <w:qFormat/>
    <w:uiPriority w:val="99"/>
    <w:pPr>
      <w:spacing w:after="0" w:line="240" w:lineRule="auto"/>
    </w:pPr>
    <w:tblPr>
      <w:tblBorders>
        <w:top w:val="single" w:color="92CCDC" w:themeColor="accent5" w:themeTint="9A" w:sz="4" w:space="0"/>
        <w:bottom w:val="single" w:color="92CCDC" w:themeColor="accent5" w:themeTint="9A" w:sz="4" w:space="0"/>
      </w:tblBorders>
    </w:tblPr>
    <w:tblStylePr w:type="firstRow">
      <w:rPr>
        <w:b/>
        <w:color w:val="93CDDD" w:themeColor="accent5" w:themeTint="99"/>
        <w14:textFill>
          <w14:solidFill>
            <w14:schemeClr w14:val="accent5">
              <w14:lumMod w14:val="60000"/>
              <w14:lumOff w14:val="40000"/>
            </w14:schemeClr>
          </w14:solidFill>
        </w14:textFill>
      </w:rPr>
      <w:tcPr>
        <w:tcBorders>
          <w:bottom w:val="single" w:color="92CCDC" w:themeColor="accent5" w:themeTint="9A" w:sz="4" w:space="0"/>
        </w:tcBorders>
      </w:tcPr>
    </w:tblStylePr>
    <w:tblStylePr w:type="lastRow">
      <w:rPr>
        <w:b/>
        <w:color w:val="93CDDD" w:themeColor="accent5" w:themeTint="99"/>
        <w14:textFill>
          <w14:solidFill>
            <w14:schemeClr w14:val="accent5">
              <w14:lumMod w14:val="60000"/>
              <w14:lumOff w14:val="40000"/>
            </w14:schemeClr>
          </w14:solidFill>
        </w14:textFill>
      </w:rPr>
      <w:tcPr>
        <w:tcBorders>
          <w:top w:val="single" w:color="92CCDC" w:themeColor="accent5" w:themeTint="9A" w:sz="4" w:space="0"/>
        </w:tcBorders>
      </w:tcPr>
    </w:tblStylePr>
    <w:tblStylePr w:type="firstCol">
      <w:rPr>
        <w:b/>
        <w:color w:val="93CDDD" w:themeColor="accent5" w:themeTint="99"/>
        <w14:textFill>
          <w14:solidFill>
            <w14:schemeClr w14:val="accent5">
              <w14:lumMod w14:val="60000"/>
              <w14:lumOff w14:val="40000"/>
            </w14:schemeClr>
          </w14:solidFill>
        </w14:textFill>
      </w:rPr>
    </w:tblStylePr>
    <w:tblStylePr w:type="lastCol">
      <w:rPr>
        <w:b/>
        <w:color w:val="93CDDD" w:themeColor="accent5" w:themeTint="99"/>
        <w14:textFill>
          <w14:solidFill>
            <w14:schemeClr w14:val="accent5">
              <w14:lumMod w14:val="60000"/>
              <w14:lumOff w14:val="40000"/>
            </w14:schemeClr>
          </w14:solidFill>
        </w14:textFill>
      </w:rPr>
    </w:tblStylePr>
    <w:tblStylePr w:type="band1Vert">
      <w:tcPr>
        <w:shd w:val="clear" w:color="D1EAF0" w:themeColor="accent5" w:themeTint="40" w:fill="D1EAF0" w:themeFill="accent5" w:themeFillTint="40"/>
      </w:tcPr>
    </w:tblStylePr>
    <w:tblStylePr w:type="band1Horz">
      <w:rPr>
        <w:rFonts w:ascii="Arial" w:hAnsi="Arial"/>
        <w:color w:val="93CDDD" w:themeColor="accent5" w:themeTint="99"/>
        <w:sz w:val="22"/>
        <w14:textFill>
          <w14:solidFill>
            <w14:schemeClr w14:val="accent5">
              <w14:lumMod w14:val="60000"/>
              <w14:lumOff w14:val="40000"/>
            </w14:schemeClr>
          </w14:solidFill>
        </w14:textFill>
      </w:rPr>
      <w:tcPr>
        <w:shd w:val="clear" w:color="D1EAF0" w:themeColor="accent5" w:themeTint="40" w:fill="D1EAF0" w:themeFill="accent5" w:themeFillTint="40"/>
      </w:tcPr>
    </w:tblStylePr>
    <w:tblStylePr w:type="band2Horz">
      <w:rPr>
        <w:rFonts w:ascii="Arial" w:hAnsi="Arial"/>
        <w:color w:val="93CDDD" w:themeColor="accent5" w:themeTint="99"/>
        <w:sz w:val="22"/>
        <w14:textFill>
          <w14:solidFill>
            <w14:schemeClr w14:val="accent5">
              <w14:lumMod w14:val="60000"/>
              <w14:lumOff w14:val="40000"/>
            </w14:schemeClr>
          </w14:solidFill>
        </w14:textFill>
      </w:rPr>
    </w:tblStylePr>
  </w:style>
  <w:style w:type="table" w:customStyle="1" w:styleId="157">
    <w:name w:val="List Table 6 Colorful - Accent 6"/>
    <w:autoRedefine/>
    <w:qFormat/>
    <w:uiPriority w:val="99"/>
    <w:pPr>
      <w:spacing w:after="0" w:line="240" w:lineRule="auto"/>
    </w:pPr>
    <w:tblPr>
      <w:tblBorders>
        <w:top w:val="single" w:color="FAC090" w:themeColor="accent6" w:themeTint="98" w:sz="4" w:space="0"/>
        <w:bottom w:val="single" w:color="FAC090" w:themeColor="accent6" w:themeTint="98" w:sz="4" w:space="0"/>
      </w:tblBorders>
    </w:tblPr>
    <w:tblStylePr w:type="firstRow">
      <w:rPr>
        <w:b/>
        <w:color w:val="FAC090" w:themeColor="accent6" w:themeTint="99"/>
        <w14:textFill>
          <w14:solidFill>
            <w14:schemeClr w14:val="accent6">
              <w14:lumMod w14:val="60000"/>
              <w14:lumOff w14:val="40000"/>
            </w14:schemeClr>
          </w14:solidFill>
        </w14:textFill>
      </w:rPr>
      <w:tcPr>
        <w:tcBorders>
          <w:bottom w:val="single" w:color="FAC090" w:themeColor="accent6" w:themeTint="98" w:sz="4" w:space="0"/>
        </w:tcBorders>
      </w:tcPr>
    </w:tblStylePr>
    <w:tblStylePr w:type="lastRow">
      <w:rPr>
        <w:b/>
        <w:color w:val="FAC090" w:themeColor="accent6" w:themeTint="99"/>
        <w14:textFill>
          <w14:solidFill>
            <w14:schemeClr w14:val="accent6">
              <w14:lumMod w14:val="60000"/>
              <w14:lumOff w14:val="40000"/>
            </w14:schemeClr>
          </w14:solidFill>
        </w14:textFill>
      </w:rPr>
      <w:tcPr>
        <w:tcBorders>
          <w:top w:val="single" w:color="FAC090" w:themeColor="accent6" w:themeTint="98" w:sz="4" w:space="0"/>
        </w:tcBorders>
      </w:tcPr>
    </w:tblStylePr>
    <w:tblStylePr w:type="firstCol">
      <w:rPr>
        <w:b/>
        <w:color w:val="FAC090" w:themeColor="accent6" w:themeTint="99"/>
        <w14:textFill>
          <w14:solidFill>
            <w14:schemeClr w14:val="accent6">
              <w14:lumMod w14:val="60000"/>
              <w14:lumOff w14:val="40000"/>
            </w14:schemeClr>
          </w14:solidFill>
        </w14:textFill>
      </w:rPr>
    </w:tblStylePr>
    <w:tblStylePr w:type="lastCol">
      <w:rPr>
        <w:b/>
        <w:color w:val="FAC090" w:themeColor="accent6" w:themeTint="99"/>
        <w14:textFill>
          <w14:solidFill>
            <w14:schemeClr w14:val="accent6">
              <w14:lumMod w14:val="60000"/>
              <w14:lumOff w14:val="40000"/>
            </w14:schemeClr>
          </w14:solidFill>
        </w14:textFill>
      </w:rPr>
    </w:tblStylePr>
    <w:tblStylePr w:type="band1Vert">
      <w:tcPr>
        <w:shd w:val="clear" w:color="FCE4D0" w:themeColor="accent6" w:themeTint="40" w:fill="FCE4D0" w:themeFill="accent6" w:themeFillTint="40"/>
      </w:tcPr>
    </w:tblStylePr>
    <w:tblStylePr w:type="band1Horz">
      <w:rPr>
        <w:rFonts w:ascii="Arial" w:hAnsi="Arial"/>
        <w:color w:val="FAC090" w:themeColor="accent6" w:themeTint="99"/>
        <w:sz w:val="22"/>
        <w14:textFill>
          <w14:solidFill>
            <w14:schemeClr w14:val="accent6">
              <w14:lumMod w14:val="60000"/>
              <w14:lumOff w14:val="40000"/>
            </w14:schemeClr>
          </w14:solidFill>
        </w14:textFill>
      </w:rPr>
      <w:tcPr>
        <w:shd w:val="clear" w:color="FCE4D0" w:themeColor="accent6" w:themeTint="40" w:fill="FCE4D0" w:themeFill="accent6" w:themeFillTint="40"/>
      </w:tcPr>
    </w:tblStylePr>
    <w:tblStylePr w:type="band2Horz">
      <w:rPr>
        <w:rFonts w:ascii="Arial" w:hAnsi="Arial"/>
        <w:color w:val="FAC090" w:themeColor="accent6" w:themeTint="99"/>
        <w:sz w:val="22"/>
        <w14:textFill>
          <w14:solidFill>
            <w14:schemeClr w14:val="accent6">
              <w14:lumMod w14:val="60000"/>
              <w14:lumOff w14:val="40000"/>
            </w14:schemeClr>
          </w14:solidFill>
        </w14:textFill>
      </w:rPr>
    </w:tblStylePr>
  </w:style>
  <w:style w:type="table" w:customStyle="1" w:styleId="158">
    <w:name w:val="List Table 7 Colorful"/>
    <w:autoRedefine/>
    <w:qFormat/>
    <w:uiPriority w:val="99"/>
    <w:pPr>
      <w:spacing w:after="0" w:line="240" w:lineRule="auto"/>
    </w:pPr>
    <w:tblPr>
      <w:tblBorders>
        <w:right w:val="single" w:color="7E7E7E" w:themeColor="text1" w:themeTint="80" w:sz="4" w:space="0"/>
      </w:tblBorders>
    </w:tblPr>
    <w:tblStylePr w:type="firstRow">
      <w:rPr>
        <w:rFonts w:ascii="Arial" w:hAnsi="Arial"/>
        <w:i/>
        <w:color w:val="808080" w:themeColor="text1" w:themeTint="80"/>
        <w:sz w:val="22"/>
        <w14:textFill>
          <w14:solidFill>
            <w14:schemeClr w14:val="tx1">
              <w14:lumMod w14:val="50000"/>
              <w14:lumOff w14:val="50000"/>
            </w14:schemeClr>
          </w14:solidFill>
        </w14:textFill>
      </w:rPr>
      <w:tcPr>
        <w:tcBorders>
          <w:top w:val="nil"/>
          <w:left w:val="nil"/>
          <w:bottom w:val="single" w:color="7E7E7E" w:themeColor="text1" w:themeTint="80" w:sz="4" w:space="0"/>
          <w:right w:val="nil"/>
        </w:tcBorders>
        <w:shd w:val="clear" w:color="FFFFFF" w:themeColor="light1" w:fill="FFFFFF" w:themeFill="light1"/>
      </w:tcPr>
    </w:tblStylePr>
    <w:tblStylePr w:type="lastRow">
      <w:rPr>
        <w:rFonts w:ascii="Arial" w:hAnsi="Arial"/>
        <w:i/>
        <w:color w:val="808080" w:themeColor="text1" w:themeTint="80"/>
        <w:sz w:val="22"/>
        <w14:textFill>
          <w14:solidFill>
            <w14:schemeClr w14:val="tx1">
              <w14:lumMod w14:val="50000"/>
              <w14:lumOff w14:val="50000"/>
            </w14:schemeClr>
          </w14:solidFill>
        </w14:textFill>
      </w:rPr>
      <w:tcPr>
        <w:tcBorders>
          <w:top w:val="single" w:color="7E7E7E" w:themeColor="text1" w:themeTint="80" w:sz="4" w:space="0"/>
          <w:left w:val="nil"/>
          <w:bottom w:val="nil"/>
          <w:right w:val="nil"/>
        </w:tcBorders>
        <w:shd w:val="clear" w:color="FFFFFF" w:themeColor="light1" w:fill="FFFFFF" w:themeFill="light1"/>
      </w:tcPr>
    </w:tblStylePr>
    <w:tblStylePr w:type="firstCol">
      <w:pPr>
        <w:jc w:val="right"/>
      </w:pPr>
      <w:rPr>
        <w:rFonts w:ascii="Arial" w:hAnsi="Arial"/>
        <w:i/>
        <w:color w:val="808080" w:themeColor="text1" w:themeTint="80"/>
        <w:sz w:val="22"/>
        <w14:textFill>
          <w14:solidFill>
            <w14:schemeClr w14:val="tx1">
              <w14:lumMod w14:val="50000"/>
              <w14:lumOff w14:val="50000"/>
            </w14:schemeClr>
          </w14:solidFill>
        </w14:textFill>
      </w:rPr>
      <w:tcPr>
        <w:tcBorders>
          <w:top w:val="nil"/>
          <w:left w:val="nil"/>
          <w:bottom w:val="nil"/>
          <w:right w:val="single" w:color="7E7E7E" w:themeColor="text1" w:themeTint="80" w:sz="4" w:space="0"/>
        </w:tcBorders>
        <w:shd w:val="clear" w:color="FFFFFF" w:fill="auto"/>
      </w:tcPr>
    </w:tblStylePr>
    <w:tblStylePr w:type="lastCol">
      <w:rPr>
        <w:rFonts w:ascii="Arial" w:hAnsi="Arial"/>
        <w:i/>
        <w:color w:val="808080" w:themeColor="text1" w:themeTint="80"/>
        <w:sz w:val="22"/>
        <w14:textFill>
          <w14:solidFill>
            <w14:schemeClr w14:val="tx1">
              <w14:lumMod w14:val="50000"/>
              <w14:lumOff w14:val="50000"/>
            </w14:schemeClr>
          </w14:solidFill>
        </w14:textFill>
      </w:rPr>
      <w:tcPr>
        <w:tcBorders>
          <w:top w:val="nil"/>
          <w:left w:val="single" w:color="7E7E7E" w:themeColor="text1" w:themeTint="80" w:sz="4" w:space="0"/>
          <w:bottom w:val="nil"/>
          <w:right w:val="nil"/>
        </w:tcBorders>
        <w:shd w:val="clear" w:color="FFFFFF" w:fill="auto"/>
      </w:tcPr>
    </w:tblStylePr>
    <w:tblStylePr w:type="band1Vert">
      <w:tcPr>
        <w:shd w:val="clear" w:color="BEBEBE" w:themeColor="text1" w:themeTint="40" w:fill="BEBEBE" w:themeFill="text1" w:themeFillTint="40"/>
      </w:tcPr>
    </w:tblStylePr>
    <w:tblStylePr w:type="band1Horz">
      <w:rPr>
        <w:rFonts w:ascii="Arial" w:hAnsi="Arial"/>
        <w:color w:val="808080" w:themeColor="text1" w:themeTint="80"/>
        <w:sz w:val="22"/>
        <w14:textFill>
          <w14:solidFill>
            <w14:schemeClr w14:val="tx1">
              <w14:lumMod w14:val="50000"/>
              <w14:lumOff w14:val="50000"/>
            </w14:schemeClr>
          </w14:solidFill>
        </w14:textFill>
      </w:rPr>
      <w:tcPr>
        <w:shd w:val="clear" w:color="BEBEBE" w:themeColor="text1" w:themeTint="40" w:fill="BEBEBE" w:themeFill="text1" w:themeFillTint="40"/>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style>
  <w:style w:type="table" w:customStyle="1" w:styleId="159">
    <w:name w:val="List Table 7 Colorful - Accent 1"/>
    <w:autoRedefine/>
    <w:qFormat/>
    <w:uiPriority w:val="99"/>
    <w:pPr>
      <w:spacing w:after="0" w:line="240" w:lineRule="auto"/>
    </w:pPr>
    <w:tblPr>
      <w:tblBorders>
        <w:right w:val="single" w:color="4F81BD" w:themeColor="accent1" w:sz="4" w:space="0"/>
      </w:tblBorders>
    </w:tblPr>
    <w:tblStylePr w:type="firstRow">
      <w:rPr>
        <w:rFonts w:ascii="Arial" w:hAnsi="Arial"/>
        <w:i/>
        <w:color w:val="2A4B71" w:themeColor="accent1" w:themeShade="94"/>
        <w:sz w:val="22"/>
      </w:rPr>
      <w:tcPr>
        <w:tcBorders>
          <w:top w:val="nil"/>
          <w:left w:val="nil"/>
          <w:bottom w:val="single" w:color="4F81BD" w:themeColor="accent1" w:sz="4" w:space="0"/>
          <w:right w:val="nil"/>
        </w:tcBorders>
        <w:shd w:val="clear" w:color="FFFFFF" w:themeColor="light1" w:fill="FFFFFF" w:themeFill="light1"/>
      </w:tcPr>
    </w:tblStylePr>
    <w:tblStylePr w:type="lastRow">
      <w:rPr>
        <w:rFonts w:ascii="Arial" w:hAnsi="Arial"/>
        <w:i/>
        <w:color w:val="2A4B71" w:themeColor="accent1" w:themeShade="94"/>
        <w:sz w:val="22"/>
      </w:rPr>
      <w:tcPr>
        <w:tcBorders>
          <w:top w:val="single" w:color="4F81BD" w:themeColor="accent1" w:sz="4" w:space="0"/>
          <w:left w:val="nil"/>
          <w:bottom w:val="nil"/>
          <w:right w:val="nil"/>
        </w:tcBorders>
        <w:shd w:val="clear" w:color="FFFFFF" w:themeColor="light1" w:fill="FFFFFF" w:themeFill="light1"/>
      </w:tcPr>
    </w:tblStylePr>
    <w:tblStylePr w:type="firstCol">
      <w:pPr>
        <w:jc w:val="right"/>
      </w:pPr>
      <w:rPr>
        <w:rFonts w:ascii="Arial" w:hAnsi="Arial"/>
        <w:i/>
        <w:color w:val="2A4B71" w:themeColor="accent1" w:themeShade="94"/>
        <w:sz w:val="22"/>
      </w:rPr>
      <w:tcPr>
        <w:tcBorders>
          <w:top w:val="nil"/>
          <w:left w:val="nil"/>
          <w:bottom w:val="nil"/>
          <w:right w:val="single" w:color="4F81BD" w:themeColor="accent1" w:sz="4" w:space="0"/>
        </w:tcBorders>
        <w:shd w:val="clear" w:color="FFFFFF" w:fill="auto"/>
      </w:tcPr>
    </w:tblStylePr>
    <w:tblStylePr w:type="lastCol">
      <w:rPr>
        <w:rFonts w:ascii="Arial" w:hAnsi="Arial"/>
        <w:i/>
        <w:color w:val="2A4B71" w:themeColor="accent1" w:themeShade="94"/>
        <w:sz w:val="22"/>
      </w:rPr>
      <w:tcPr>
        <w:tcBorders>
          <w:top w:val="nil"/>
          <w:left w:val="single" w:color="4F81BD" w:themeColor="accent1" w:sz="4" w:space="0"/>
          <w:bottom w:val="nil"/>
          <w:right w:val="nil"/>
        </w:tcBorders>
        <w:shd w:val="clear" w:color="FFFFFF" w:fill="auto"/>
      </w:tcPr>
    </w:tblStylePr>
    <w:tblStylePr w:type="band1Vert">
      <w:tcPr>
        <w:shd w:val="clear" w:color="D2DFEE" w:themeColor="accent1" w:themeTint="40" w:fill="D2DFEE" w:themeFill="accent1" w:themeFillTint="40"/>
      </w:tcPr>
    </w:tblStylePr>
    <w:tblStylePr w:type="band1Horz">
      <w:rPr>
        <w:rFonts w:ascii="Arial" w:hAnsi="Arial"/>
        <w:color w:val="2A4B71" w:themeColor="accent1" w:themeShade="94"/>
        <w:sz w:val="22"/>
      </w:rPr>
      <w:tcPr>
        <w:shd w:val="clear" w:color="D2DFEE" w:themeColor="accent1" w:themeTint="40" w:fill="D2DFEE" w:themeFill="accent1" w:themeFillTint="40"/>
      </w:tcPr>
    </w:tblStylePr>
    <w:tblStylePr w:type="band2Horz">
      <w:rPr>
        <w:rFonts w:ascii="Arial" w:hAnsi="Arial"/>
        <w:color w:val="2A4B71" w:themeColor="accent1" w:themeShade="94"/>
        <w:sz w:val="22"/>
      </w:rPr>
    </w:tblStylePr>
  </w:style>
  <w:style w:type="table" w:customStyle="1" w:styleId="160">
    <w:name w:val="List Table 7 Colorful - Accent 2"/>
    <w:autoRedefine/>
    <w:qFormat/>
    <w:uiPriority w:val="99"/>
    <w:pPr>
      <w:spacing w:after="0" w:line="240" w:lineRule="auto"/>
    </w:pPr>
    <w:tblPr>
      <w:tblBorders>
        <w:right w:val="single" w:color="D99795" w:themeColor="accent2" w:themeTint="97" w:sz="4" w:space="0"/>
      </w:tblBorders>
    </w:tblPr>
    <w:tblStylePr w:type="firstRow">
      <w:rPr>
        <w:rFonts w:ascii="Arial" w:hAnsi="Arial"/>
        <w:i/>
        <w:color w:val="DA9896" w:themeColor="accent2" w:themeTint="96"/>
        <w:sz w:val="22"/>
        <w14:textFill>
          <w14:solidFill>
            <w14:schemeClr w14:val="accent2">
              <w14:lumMod w14:val="59000"/>
              <w14:lumOff w14:val="41000"/>
            </w14:schemeClr>
          </w14:solidFill>
        </w14:textFill>
      </w:rPr>
      <w:tcPr>
        <w:tcBorders>
          <w:top w:val="nil"/>
          <w:left w:val="nil"/>
          <w:bottom w:val="single" w:color="D99795" w:themeColor="accent2" w:themeTint="97" w:sz="4" w:space="0"/>
          <w:right w:val="nil"/>
        </w:tcBorders>
        <w:shd w:val="clear" w:color="FFFFFF" w:themeColor="light1" w:fill="FFFFFF" w:themeFill="light1"/>
      </w:tcPr>
    </w:tblStylePr>
    <w:tblStylePr w:type="lastRow">
      <w:rPr>
        <w:rFonts w:ascii="Arial" w:hAnsi="Arial"/>
        <w:i/>
        <w:color w:val="DA9896" w:themeColor="accent2" w:themeTint="96"/>
        <w:sz w:val="22"/>
        <w14:textFill>
          <w14:solidFill>
            <w14:schemeClr w14:val="accent2">
              <w14:lumMod w14:val="59000"/>
              <w14:lumOff w14:val="41000"/>
            </w14:schemeClr>
          </w14:solidFill>
        </w14:textFill>
      </w:rPr>
      <w:tcPr>
        <w:tcBorders>
          <w:top w:val="single" w:color="D99795" w:themeColor="accent2" w:themeTint="97" w:sz="4" w:space="0"/>
          <w:left w:val="nil"/>
          <w:bottom w:val="nil"/>
          <w:right w:val="nil"/>
        </w:tcBorders>
        <w:shd w:val="clear" w:color="FFFFFF" w:themeColor="light1" w:fill="FFFFFF" w:themeFill="light1"/>
      </w:tcPr>
    </w:tblStylePr>
    <w:tblStylePr w:type="firstCol">
      <w:pPr>
        <w:jc w:val="right"/>
      </w:pPr>
      <w:rPr>
        <w:rFonts w:ascii="Arial" w:hAnsi="Arial"/>
        <w:i/>
        <w:color w:val="DA9896" w:themeColor="accent2" w:themeTint="96"/>
        <w:sz w:val="22"/>
        <w14:textFill>
          <w14:solidFill>
            <w14:schemeClr w14:val="accent2">
              <w14:lumMod w14:val="59000"/>
              <w14:lumOff w14:val="41000"/>
            </w14:schemeClr>
          </w14:solidFill>
        </w14:textFill>
      </w:rPr>
      <w:tcPr>
        <w:tcBorders>
          <w:top w:val="nil"/>
          <w:left w:val="nil"/>
          <w:bottom w:val="nil"/>
          <w:right w:val="single" w:color="D99795" w:themeColor="accent2" w:themeTint="97" w:sz="4" w:space="0"/>
        </w:tcBorders>
        <w:shd w:val="clear" w:color="FFFFFF" w:fill="auto"/>
      </w:tcPr>
    </w:tblStylePr>
    <w:tblStylePr w:type="lastCol">
      <w:rPr>
        <w:rFonts w:ascii="Arial" w:hAnsi="Arial"/>
        <w:i/>
        <w:color w:val="DA9896" w:themeColor="accent2" w:themeTint="96"/>
        <w:sz w:val="22"/>
        <w14:textFill>
          <w14:solidFill>
            <w14:schemeClr w14:val="accent2">
              <w14:lumMod w14:val="59000"/>
              <w14:lumOff w14:val="41000"/>
            </w14:schemeClr>
          </w14:solidFill>
        </w14:textFill>
      </w:rPr>
      <w:tcPr>
        <w:tcBorders>
          <w:top w:val="nil"/>
          <w:left w:val="single" w:color="D99795" w:themeColor="accent2" w:themeTint="97" w:sz="4" w:space="0"/>
          <w:bottom w:val="nil"/>
          <w:right w:val="nil"/>
        </w:tcBorders>
        <w:shd w:val="clear" w:color="FFFFFF" w:fill="auto"/>
      </w:tcPr>
    </w:tblStylePr>
    <w:tblStylePr w:type="band1Vert">
      <w:tcPr>
        <w:shd w:val="clear" w:color="EFD3D2" w:themeColor="accent2" w:themeTint="40" w:fill="EFD3D2" w:themeFill="accent2" w:themeFillTint="40"/>
      </w:tcPr>
    </w:tblStylePr>
    <w:tblStylePr w:type="band1Horz">
      <w:rPr>
        <w:rFonts w:ascii="Arial" w:hAnsi="Arial"/>
        <w:color w:val="DA9896" w:themeColor="accent2" w:themeTint="96"/>
        <w:sz w:val="22"/>
        <w14:textFill>
          <w14:solidFill>
            <w14:schemeClr w14:val="accent2">
              <w14:lumMod w14:val="59000"/>
              <w14:lumOff w14:val="41000"/>
            </w14:schemeClr>
          </w14:solidFill>
        </w14:textFill>
      </w:rPr>
      <w:tcPr>
        <w:shd w:val="clear" w:color="EFD3D2" w:themeColor="accent2" w:themeTint="40" w:fill="EFD3D2" w:themeFill="accent2" w:themeFillTint="40"/>
      </w:tcPr>
    </w:tblStylePr>
    <w:tblStylePr w:type="band2Horz">
      <w:rPr>
        <w:rFonts w:ascii="Arial" w:hAnsi="Arial"/>
        <w:color w:val="DA9896" w:themeColor="accent2" w:themeTint="96"/>
        <w:sz w:val="22"/>
        <w14:textFill>
          <w14:solidFill>
            <w14:schemeClr w14:val="accent2">
              <w14:lumMod w14:val="59000"/>
              <w14:lumOff w14:val="41000"/>
            </w14:schemeClr>
          </w14:solidFill>
        </w14:textFill>
      </w:rPr>
    </w:tblStylePr>
  </w:style>
  <w:style w:type="table" w:customStyle="1" w:styleId="161">
    <w:name w:val="List Table 7 Colorful - Accent 3"/>
    <w:autoRedefine/>
    <w:qFormat/>
    <w:uiPriority w:val="99"/>
    <w:pPr>
      <w:spacing w:after="0" w:line="240" w:lineRule="auto"/>
    </w:pPr>
    <w:tblPr>
      <w:tblBorders>
        <w:right w:val="single" w:color="C3D69C" w:themeColor="accent3" w:themeTint="98" w:sz="4" w:space="0"/>
      </w:tblBorders>
    </w:tblPr>
    <w:tblStylePr w:type="firstRow">
      <w:rPr>
        <w:rFonts w:ascii="Arial" w:hAnsi="Arial"/>
        <w:i/>
        <w:color w:val="C3D69B" w:themeColor="accent3" w:themeTint="99"/>
        <w:sz w:val="22"/>
        <w14:textFill>
          <w14:solidFill>
            <w14:schemeClr w14:val="accent3">
              <w14:lumMod w14:val="60000"/>
              <w14:lumOff w14:val="40000"/>
            </w14:schemeClr>
          </w14:solidFill>
        </w14:textFill>
      </w:rPr>
      <w:tcPr>
        <w:tcBorders>
          <w:top w:val="nil"/>
          <w:left w:val="nil"/>
          <w:bottom w:val="single" w:color="C3D69C" w:themeColor="accent3" w:themeTint="98" w:sz="4" w:space="0"/>
          <w:right w:val="nil"/>
        </w:tcBorders>
        <w:shd w:val="clear" w:color="FFFFFF" w:themeColor="light1" w:fill="FFFFFF" w:themeFill="light1"/>
      </w:tcPr>
    </w:tblStylePr>
    <w:tblStylePr w:type="lastRow">
      <w:rPr>
        <w:rFonts w:ascii="Arial" w:hAnsi="Arial"/>
        <w:i/>
        <w:color w:val="C3D69B" w:themeColor="accent3" w:themeTint="99"/>
        <w:sz w:val="22"/>
        <w14:textFill>
          <w14:solidFill>
            <w14:schemeClr w14:val="accent3">
              <w14:lumMod w14:val="60000"/>
              <w14:lumOff w14:val="40000"/>
            </w14:schemeClr>
          </w14:solidFill>
        </w14:textFill>
      </w:rPr>
      <w:tcPr>
        <w:tcBorders>
          <w:top w:val="single" w:color="C3D69C" w:themeColor="accent3" w:themeTint="98" w:sz="4" w:space="0"/>
          <w:left w:val="nil"/>
          <w:bottom w:val="nil"/>
          <w:right w:val="nil"/>
        </w:tcBorders>
        <w:shd w:val="clear" w:color="FFFFFF" w:themeColor="light1" w:fill="FFFFFF" w:themeFill="light1"/>
      </w:tcPr>
    </w:tblStylePr>
    <w:tblStylePr w:type="firstCol">
      <w:pPr>
        <w:jc w:val="right"/>
      </w:pPr>
      <w:rPr>
        <w:rFonts w:ascii="Arial" w:hAnsi="Arial"/>
        <w:i/>
        <w:color w:val="C3D69B" w:themeColor="accent3" w:themeTint="99"/>
        <w:sz w:val="22"/>
        <w14:textFill>
          <w14:solidFill>
            <w14:schemeClr w14:val="accent3">
              <w14:lumMod w14:val="60000"/>
              <w14:lumOff w14:val="40000"/>
            </w14:schemeClr>
          </w14:solidFill>
        </w14:textFill>
      </w:rPr>
      <w:tcPr>
        <w:tcBorders>
          <w:top w:val="nil"/>
          <w:left w:val="nil"/>
          <w:bottom w:val="nil"/>
          <w:right w:val="single" w:color="C3D69C" w:themeColor="accent3" w:themeTint="98" w:sz="4" w:space="0"/>
        </w:tcBorders>
        <w:shd w:val="clear" w:color="FFFFFF" w:fill="auto"/>
      </w:tcPr>
    </w:tblStylePr>
    <w:tblStylePr w:type="lastCol">
      <w:rPr>
        <w:rFonts w:ascii="Arial" w:hAnsi="Arial"/>
        <w:i/>
        <w:color w:val="C3D69B" w:themeColor="accent3" w:themeTint="99"/>
        <w:sz w:val="22"/>
        <w14:textFill>
          <w14:solidFill>
            <w14:schemeClr w14:val="accent3">
              <w14:lumMod w14:val="60000"/>
              <w14:lumOff w14:val="40000"/>
            </w14:schemeClr>
          </w14:solidFill>
        </w14:textFill>
      </w:rPr>
      <w:tcPr>
        <w:tcBorders>
          <w:top w:val="nil"/>
          <w:left w:val="single" w:color="C3D69C" w:themeColor="accent3" w:themeTint="98" w:sz="4" w:space="0"/>
          <w:bottom w:val="nil"/>
          <w:right w:val="nil"/>
        </w:tcBorders>
        <w:shd w:val="clear" w:color="FFFFFF" w:fill="auto"/>
      </w:tcPr>
    </w:tblStylePr>
    <w:tblStylePr w:type="band1Vert">
      <w:tcPr>
        <w:shd w:val="clear" w:color="E5EDD5" w:themeColor="accent3" w:themeTint="40" w:fill="E5EDD5" w:themeFill="accent3" w:themeFillTint="40"/>
      </w:tcPr>
    </w:tblStylePr>
    <w:tblStylePr w:type="band1Horz">
      <w:rPr>
        <w:rFonts w:ascii="Arial" w:hAnsi="Arial"/>
        <w:color w:val="C3D69B" w:themeColor="accent3" w:themeTint="99"/>
        <w:sz w:val="22"/>
        <w14:textFill>
          <w14:solidFill>
            <w14:schemeClr w14:val="accent3">
              <w14:lumMod w14:val="60000"/>
              <w14:lumOff w14:val="40000"/>
            </w14:schemeClr>
          </w14:solidFill>
        </w14:textFill>
      </w:rPr>
      <w:tcPr>
        <w:shd w:val="clear" w:color="E5EDD5" w:themeColor="accent3" w:themeTint="40" w:fill="E5EDD5" w:themeFill="accent3" w:themeFillTint="40"/>
      </w:tcPr>
    </w:tblStylePr>
    <w:tblStylePr w:type="band2Horz">
      <w:rPr>
        <w:rFonts w:ascii="Arial" w:hAnsi="Arial"/>
        <w:color w:val="C3D69B" w:themeColor="accent3" w:themeTint="99"/>
        <w:sz w:val="22"/>
        <w14:textFill>
          <w14:solidFill>
            <w14:schemeClr w14:val="accent3">
              <w14:lumMod w14:val="60000"/>
              <w14:lumOff w14:val="40000"/>
            </w14:schemeClr>
          </w14:solidFill>
        </w14:textFill>
      </w:rPr>
    </w:tblStylePr>
  </w:style>
  <w:style w:type="table" w:customStyle="1" w:styleId="162">
    <w:name w:val="List Table 7 Colorful - Accent 4"/>
    <w:autoRedefine/>
    <w:qFormat/>
    <w:uiPriority w:val="99"/>
    <w:pPr>
      <w:spacing w:after="0" w:line="240" w:lineRule="auto"/>
    </w:pPr>
    <w:tblPr>
      <w:tblBorders>
        <w:right w:val="single" w:color="B2A1C6" w:themeColor="accent4" w:themeTint="9A" w:sz="4" w:space="0"/>
      </w:tblBorders>
    </w:tblPr>
    <w:tblStylePr w:type="firstRow">
      <w:rPr>
        <w:rFonts w:ascii="Arial" w:hAnsi="Arial"/>
        <w:i/>
        <w:color w:val="B3A2C7" w:themeColor="accent4" w:themeTint="99"/>
        <w:sz w:val="22"/>
        <w14:textFill>
          <w14:solidFill>
            <w14:schemeClr w14:val="accent4">
              <w14:lumMod w14:val="60000"/>
              <w14:lumOff w14:val="40000"/>
            </w14:schemeClr>
          </w14:solidFill>
        </w14:textFill>
      </w:rPr>
      <w:tcPr>
        <w:tcBorders>
          <w:top w:val="nil"/>
          <w:left w:val="nil"/>
          <w:bottom w:val="single" w:color="B2A1C6" w:themeColor="accent4" w:themeTint="9A" w:sz="4" w:space="0"/>
          <w:right w:val="nil"/>
        </w:tcBorders>
        <w:shd w:val="clear" w:color="FFFFFF" w:themeColor="light1" w:fill="FFFFFF" w:themeFill="light1"/>
      </w:tcPr>
    </w:tblStylePr>
    <w:tblStylePr w:type="lastRow">
      <w:rPr>
        <w:rFonts w:ascii="Arial" w:hAnsi="Arial"/>
        <w:i/>
        <w:color w:val="B3A2C7" w:themeColor="accent4" w:themeTint="99"/>
        <w:sz w:val="22"/>
        <w14:textFill>
          <w14:solidFill>
            <w14:schemeClr w14:val="accent4">
              <w14:lumMod w14:val="60000"/>
              <w14:lumOff w14:val="40000"/>
            </w14:schemeClr>
          </w14:solidFill>
        </w14:textFill>
      </w:rPr>
      <w:tcPr>
        <w:tcBorders>
          <w:top w:val="single" w:color="B2A1C6" w:themeColor="accent4" w:themeTint="9A" w:sz="4" w:space="0"/>
          <w:left w:val="nil"/>
          <w:bottom w:val="nil"/>
          <w:right w:val="nil"/>
        </w:tcBorders>
        <w:shd w:val="clear" w:color="FFFFFF" w:themeColor="light1" w:fill="FFFFFF" w:themeFill="light1"/>
      </w:tcPr>
    </w:tblStylePr>
    <w:tblStylePr w:type="firstCol">
      <w:pPr>
        <w:jc w:val="right"/>
      </w:pPr>
      <w:rPr>
        <w:rFonts w:ascii="Arial" w:hAnsi="Arial"/>
        <w:i/>
        <w:color w:val="B3A2C7" w:themeColor="accent4" w:themeTint="99"/>
        <w:sz w:val="22"/>
        <w14:textFill>
          <w14:solidFill>
            <w14:schemeClr w14:val="accent4">
              <w14:lumMod w14:val="60000"/>
              <w14:lumOff w14:val="40000"/>
            </w14:schemeClr>
          </w14:solidFill>
        </w14:textFill>
      </w:rPr>
      <w:tcPr>
        <w:tcBorders>
          <w:top w:val="nil"/>
          <w:left w:val="nil"/>
          <w:bottom w:val="nil"/>
          <w:right w:val="single" w:color="B2A1C6" w:themeColor="accent4" w:themeTint="9A" w:sz="4" w:space="0"/>
        </w:tcBorders>
        <w:shd w:val="clear" w:color="FFFFFF" w:fill="auto"/>
      </w:tcPr>
    </w:tblStylePr>
    <w:tblStylePr w:type="lastCol">
      <w:rPr>
        <w:rFonts w:ascii="Arial" w:hAnsi="Arial"/>
        <w:i/>
        <w:color w:val="B3A2C7" w:themeColor="accent4" w:themeTint="99"/>
        <w:sz w:val="22"/>
        <w14:textFill>
          <w14:solidFill>
            <w14:schemeClr w14:val="accent4">
              <w14:lumMod w14:val="60000"/>
              <w14:lumOff w14:val="40000"/>
            </w14:schemeClr>
          </w14:solidFill>
        </w14:textFill>
      </w:rPr>
      <w:tcPr>
        <w:tcBorders>
          <w:top w:val="nil"/>
          <w:left w:val="single" w:color="B2A1C6" w:themeColor="accent4" w:themeTint="9A" w:sz="4" w:space="0"/>
          <w:bottom w:val="nil"/>
          <w:right w:val="nil"/>
        </w:tcBorders>
        <w:shd w:val="clear" w:color="FFFFFF" w:fill="auto"/>
      </w:tcPr>
    </w:tblStylePr>
    <w:tblStylePr w:type="band1Vert">
      <w:tcPr>
        <w:shd w:val="clear" w:color="DFD8E7" w:themeColor="accent4" w:themeTint="40" w:fill="DFD8E7" w:themeFill="accent4" w:themeFillTint="40"/>
      </w:tcPr>
    </w:tblStylePr>
    <w:tblStylePr w:type="band1Horz">
      <w:rPr>
        <w:rFonts w:ascii="Arial" w:hAnsi="Arial"/>
        <w:color w:val="B3A2C7" w:themeColor="accent4" w:themeTint="99"/>
        <w:sz w:val="22"/>
        <w14:textFill>
          <w14:solidFill>
            <w14:schemeClr w14:val="accent4">
              <w14:lumMod w14:val="60000"/>
              <w14:lumOff w14:val="40000"/>
            </w14:schemeClr>
          </w14:solidFill>
        </w14:textFill>
      </w:rPr>
      <w:tcPr>
        <w:shd w:val="clear" w:color="DFD8E7" w:themeColor="accent4" w:themeTint="40" w:fill="DFD8E7" w:themeFill="accent4" w:themeFillTint="40"/>
      </w:tcPr>
    </w:tblStylePr>
    <w:tblStylePr w:type="band2Horz">
      <w:rPr>
        <w:rFonts w:ascii="Arial" w:hAnsi="Arial"/>
        <w:color w:val="B3A2C7" w:themeColor="accent4" w:themeTint="99"/>
        <w:sz w:val="22"/>
        <w14:textFill>
          <w14:solidFill>
            <w14:schemeClr w14:val="accent4">
              <w14:lumMod w14:val="60000"/>
              <w14:lumOff w14:val="40000"/>
            </w14:schemeClr>
          </w14:solidFill>
        </w14:textFill>
      </w:rPr>
    </w:tblStylePr>
  </w:style>
  <w:style w:type="table" w:customStyle="1" w:styleId="163">
    <w:name w:val="List Table 7 Colorful - Accent 5"/>
    <w:autoRedefine/>
    <w:qFormat/>
    <w:uiPriority w:val="99"/>
    <w:pPr>
      <w:spacing w:after="0" w:line="240" w:lineRule="auto"/>
    </w:pPr>
    <w:tblPr>
      <w:tblBorders>
        <w:right w:val="single" w:color="92CCDC" w:themeColor="accent5" w:themeTint="9A" w:sz="4" w:space="0"/>
      </w:tblBorders>
    </w:tblPr>
    <w:tblStylePr w:type="firstRow">
      <w:rPr>
        <w:rFonts w:ascii="Arial" w:hAnsi="Arial"/>
        <w:i/>
        <w:color w:val="93CDDD" w:themeColor="accent5" w:themeTint="99"/>
        <w:sz w:val="22"/>
        <w14:textFill>
          <w14:solidFill>
            <w14:schemeClr w14:val="accent5">
              <w14:lumMod w14:val="60000"/>
              <w14:lumOff w14:val="40000"/>
            </w14:schemeClr>
          </w14:solidFill>
        </w14:textFill>
      </w:rPr>
      <w:tcPr>
        <w:tcBorders>
          <w:top w:val="nil"/>
          <w:left w:val="nil"/>
          <w:bottom w:val="single" w:color="92CCDC" w:themeColor="accent5" w:themeTint="9A" w:sz="4" w:space="0"/>
          <w:right w:val="nil"/>
        </w:tcBorders>
        <w:shd w:val="clear" w:color="FFFFFF" w:themeColor="light1" w:fill="FFFFFF" w:themeFill="light1"/>
      </w:tcPr>
    </w:tblStylePr>
    <w:tblStylePr w:type="lastRow">
      <w:rPr>
        <w:rFonts w:ascii="Arial" w:hAnsi="Arial"/>
        <w:i/>
        <w:color w:val="93CDDD" w:themeColor="accent5" w:themeTint="99"/>
        <w:sz w:val="22"/>
        <w14:textFill>
          <w14:solidFill>
            <w14:schemeClr w14:val="accent5">
              <w14:lumMod w14:val="60000"/>
              <w14:lumOff w14:val="40000"/>
            </w14:schemeClr>
          </w14:solidFill>
        </w14:textFill>
      </w:rPr>
      <w:tcPr>
        <w:tcBorders>
          <w:top w:val="single" w:color="92CCDC" w:themeColor="accent5" w:themeTint="9A" w:sz="4" w:space="0"/>
          <w:left w:val="nil"/>
          <w:bottom w:val="nil"/>
          <w:right w:val="nil"/>
        </w:tcBorders>
        <w:shd w:val="clear" w:color="FFFFFF" w:themeColor="light1" w:fill="FFFFFF" w:themeFill="light1"/>
      </w:tcPr>
    </w:tblStylePr>
    <w:tblStylePr w:type="firstCol">
      <w:pPr>
        <w:jc w:val="right"/>
      </w:pPr>
      <w:rPr>
        <w:rFonts w:ascii="Arial" w:hAnsi="Arial"/>
        <w:i/>
        <w:color w:val="93CDDD" w:themeColor="accent5" w:themeTint="99"/>
        <w:sz w:val="22"/>
        <w14:textFill>
          <w14:solidFill>
            <w14:schemeClr w14:val="accent5">
              <w14:lumMod w14:val="60000"/>
              <w14:lumOff w14:val="40000"/>
            </w14:schemeClr>
          </w14:solidFill>
        </w14:textFill>
      </w:rPr>
      <w:tcPr>
        <w:tcBorders>
          <w:top w:val="nil"/>
          <w:left w:val="nil"/>
          <w:bottom w:val="nil"/>
          <w:right w:val="single" w:color="92CCDC" w:themeColor="accent5" w:themeTint="9A" w:sz="4" w:space="0"/>
        </w:tcBorders>
        <w:shd w:val="clear" w:color="FFFFFF" w:fill="auto"/>
      </w:tcPr>
    </w:tblStylePr>
    <w:tblStylePr w:type="lastCol">
      <w:rPr>
        <w:rFonts w:ascii="Arial" w:hAnsi="Arial"/>
        <w:i/>
        <w:color w:val="93CDDD" w:themeColor="accent5" w:themeTint="99"/>
        <w:sz w:val="22"/>
        <w14:textFill>
          <w14:solidFill>
            <w14:schemeClr w14:val="accent5">
              <w14:lumMod w14:val="60000"/>
              <w14:lumOff w14:val="40000"/>
            </w14:schemeClr>
          </w14:solidFill>
        </w14:textFill>
      </w:rPr>
      <w:tcPr>
        <w:tcBorders>
          <w:top w:val="nil"/>
          <w:left w:val="single" w:color="92CCDC" w:themeColor="accent5" w:themeTint="9A" w:sz="4" w:space="0"/>
          <w:bottom w:val="nil"/>
          <w:right w:val="nil"/>
        </w:tcBorders>
        <w:shd w:val="clear" w:color="FFFFFF" w:fill="auto"/>
      </w:tcPr>
    </w:tblStylePr>
    <w:tblStylePr w:type="band1Vert">
      <w:tcPr>
        <w:shd w:val="clear" w:color="D1EAF0" w:themeColor="accent5" w:themeTint="40" w:fill="D1EAF0" w:themeFill="accent5" w:themeFillTint="40"/>
      </w:tcPr>
    </w:tblStylePr>
    <w:tblStylePr w:type="band1Horz">
      <w:rPr>
        <w:rFonts w:ascii="Arial" w:hAnsi="Arial"/>
        <w:color w:val="93CDDD" w:themeColor="accent5" w:themeTint="99"/>
        <w:sz w:val="22"/>
        <w14:textFill>
          <w14:solidFill>
            <w14:schemeClr w14:val="accent5">
              <w14:lumMod w14:val="60000"/>
              <w14:lumOff w14:val="40000"/>
            </w14:schemeClr>
          </w14:solidFill>
        </w14:textFill>
      </w:rPr>
      <w:tcPr>
        <w:shd w:val="clear" w:color="D1EAF0" w:themeColor="accent5" w:themeTint="40" w:fill="D1EAF0" w:themeFill="accent5" w:themeFillTint="40"/>
      </w:tcPr>
    </w:tblStylePr>
    <w:tblStylePr w:type="band2Horz">
      <w:rPr>
        <w:rFonts w:ascii="Arial" w:hAnsi="Arial"/>
        <w:color w:val="93CDDD" w:themeColor="accent5" w:themeTint="99"/>
        <w:sz w:val="22"/>
        <w14:textFill>
          <w14:solidFill>
            <w14:schemeClr w14:val="accent5">
              <w14:lumMod w14:val="60000"/>
              <w14:lumOff w14:val="40000"/>
            </w14:schemeClr>
          </w14:solidFill>
        </w14:textFill>
      </w:rPr>
    </w:tblStylePr>
  </w:style>
  <w:style w:type="table" w:customStyle="1" w:styleId="164">
    <w:name w:val="List Table 7 Colorful - Accent 6"/>
    <w:autoRedefine/>
    <w:qFormat/>
    <w:uiPriority w:val="99"/>
    <w:pPr>
      <w:spacing w:after="0" w:line="240" w:lineRule="auto"/>
    </w:pPr>
    <w:tblPr>
      <w:tblBorders>
        <w:right w:val="single" w:color="FAC090" w:themeColor="accent6" w:themeTint="98" w:sz="4" w:space="0"/>
      </w:tblBorders>
    </w:tblPr>
    <w:tblStylePr w:type="firstRow">
      <w:rPr>
        <w:rFonts w:ascii="Arial" w:hAnsi="Arial"/>
        <w:i/>
        <w:color w:val="FAC090" w:themeColor="accent6" w:themeTint="99"/>
        <w:sz w:val="22"/>
        <w14:textFill>
          <w14:solidFill>
            <w14:schemeClr w14:val="accent6">
              <w14:lumMod w14:val="60000"/>
              <w14:lumOff w14:val="40000"/>
            </w14:schemeClr>
          </w14:solidFill>
        </w14:textFill>
      </w:rPr>
      <w:tcPr>
        <w:tcBorders>
          <w:top w:val="nil"/>
          <w:left w:val="nil"/>
          <w:bottom w:val="single" w:color="FAC090" w:themeColor="accent6" w:themeTint="98" w:sz="4" w:space="0"/>
          <w:right w:val="nil"/>
        </w:tcBorders>
        <w:shd w:val="clear" w:color="FFFFFF" w:themeColor="light1" w:fill="FFFFFF" w:themeFill="light1"/>
      </w:tcPr>
    </w:tblStylePr>
    <w:tblStylePr w:type="lastRow">
      <w:rPr>
        <w:rFonts w:ascii="Arial" w:hAnsi="Arial"/>
        <w:i/>
        <w:color w:val="FAC090" w:themeColor="accent6" w:themeTint="99"/>
        <w:sz w:val="22"/>
        <w14:textFill>
          <w14:solidFill>
            <w14:schemeClr w14:val="accent6">
              <w14:lumMod w14:val="60000"/>
              <w14:lumOff w14:val="40000"/>
            </w14:schemeClr>
          </w14:solidFill>
        </w14:textFill>
      </w:rPr>
      <w:tcPr>
        <w:tcBorders>
          <w:top w:val="single" w:color="FAC090" w:themeColor="accent6" w:themeTint="98" w:sz="4" w:space="0"/>
          <w:left w:val="nil"/>
          <w:bottom w:val="nil"/>
          <w:right w:val="nil"/>
        </w:tcBorders>
        <w:shd w:val="clear" w:color="FFFFFF" w:themeColor="light1" w:fill="FFFFFF" w:themeFill="light1"/>
      </w:tcPr>
    </w:tblStylePr>
    <w:tblStylePr w:type="firstCol">
      <w:pPr>
        <w:jc w:val="right"/>
      </w:pPr>
      <w:rPr>
        <w:rFonts w:ascii="Arial" w:hAnsi="Arial"/>
        <w:i/>
        <w:color w:val="FAC090" w:themeColor="accent6" w:themeTint="99"/>
        <w:sz w:val="22"/>
        <w14:textFill>
          <w14:solidFill>
            <w14:schemeClr w14:val="accent6">
              <w14:lumMod w14:val="60000"/>
              <w14:lumOff w14:val="40000"/>
            </w14:schemeClr>
          </w14:solidFill>
        </w14:textFill>
      </w:rPr>
      <w:tcPr>
        <w:tcBorders>
          <w:top w:val="nil"/>
          <w:left w:val="nil"/>
          <w:bottom w:val="nil"/>
          <w:right w:val="single" w:color="FAC090" w:themeColor="accent6" w:themeTint="98" w:sz="4" w:space="0"/>
        </w:tcBorders>
        <w:shd w:val="clear" w:color="FFFFFF" w:fill="auto"/>
      </w:tcPr>
    </w:tblStylePr>
    <w:tblStylePr w:type="lastCol">
      <w:rPr>
        <w:rFonts w:ascii="Arial" w:hAnsi="Arial"/>
        <w:i/>
        <w:color w:val="FAC090" w:themeColor="accent6" w:themeTint="99"/>
        <w:sz w:val="22"/>
        <w14:textFill>
          <w14:solidFill>
            <w14:schemeClr w14:val="accent6">
              <w14:lumMod w14:val="60000"/>
              <w14:lumOff w14:val="40000"/>
            </w14:schemeClr>
          </w14:solidFill>
        </w14:textFill>
      </w:rPr>
      <w:tcPr>
        <w:tcBorders>
          <w:top w:val="nil"/>
          <w:left w:val="single" w:color="FAC090" w:themeColor="accent6" w:themeTint="98" w:sz="4" w:space="0"/>
          <w:bottom w:val="nil"/>
          <w:right w:val="nil"/>
        </w:tcBorders>
        <w:shd w:val="clear" w:color="FFFFFF" w:fill="auto"/>
      </w:tcPr>
    </w:tblStylePr>
    <w:tblStylePr w:type="band1Vert">
      <w:tcPr>
        <w:shd w:val="clear" w:color="FCE4D0" w:themeColor="accent6" w:themeTint="40" w:fill="FCE4D0" w:themeFill="accent6" w:themeFillTint="40"/>
      </w:tcPr>
    </w:tblStylePr>
    <w:tblStylePr w:type="band1Horz">
      <w:rPr>
        <w:rFonts w:ascii="Arial" w:hAnsi="Arial"/>
        <w:color w:val="FAC090" w:themeColor="accent6" w:themeTint="99"/>
        <w:sz w:val="22"/>
        <w14:textFill>
          <w14:solidFill>
            <w14:schemeClr w14:val="accent6">
              <w14:lumMod w14:val="60000"/>
              <w14:lumOff w14:val="40000"/>
            </w14:schemeClr>
          </w14:solidFill>
        </w14:textFill>
      </w:rPr>
      <w:tcPr>
        <w:shd w:val="clear" w:color="FCE4D0" w:themeColor="accent6" w:themeTint="40" w:fill="FCE4D0" w:themeFill="accent6" w:themeFillTint="40"/>
      </w:tcPr>
    </w:tblStylePr>
    <w:tblStylePr w:type="band2Horz">
      <w:rPr>
        <w:rFonts w:ascii="Arial" w:hAnsi="Arial"/>
        <w:color w:val="FAC090" w:themeColor="accent6" w:themeTint="99"/>
        <w:sz w:val="22"/>
        <w14:textFill>
          <w14:solidFill>
            <w14:schemeClr w14:val="accent6">
              <w14:lumMod w14:val="60000"/>
              <w14:lumOff w14:val="40000"/>
            </w14:schemeClr>
          </w14:solidFill>
        </w14:textFill>
      </w:rPr>
    </w:tblStylePr>
  </w:style>
  <w:style w:type="table" w:customStyle="1" w:styleId="165">
    <w:name w:val="Lined - Accent"/>
    <w:autoRedefine/>
    <w:qFormat/>
    <w:uiPriority w:val="99"/>
    <w:pPr>
      <w:spacing w:after="0" w:line="240" w:lineRule="auto"/>
    </w:pPr>
    <w:rPr>
      <w:color w:val="404040"/>
    </w:rPr>
    <w:tblStylePr w:type="firstRow">
      <w:rPr>
        <w:rFonts w:ascii="Arial" w:hAnsi="Arial"/>
        <w:color w:val="F2F2F2"/>
        <w:sz w:val="22"/>
      </w:rPr>
      <w:tcPr>
        <w:shd w:val="clear" w:color="7E7E7E" w:themeColor="text1" w:themeTint="80" w:fill="7E7E7E" w:themeFill="text1" w:themeFillTint="80"/>
      </w:tcPr>
    </w:tblStylePr>
    <w:tblStylePr w:type="lastRow">
      <w:rPr>
        <w:rFonts w:ascii="Arial" w:hAnsi="Arial"/>
        <w:color w:val="F2F2F2"/>
        <w:sz w:val="22"/>
      </w:rPr>
      <w:tcPr>
        <w:shd w:val="clear" w:color="7E7E7E" w:themeColor="text1" w:themeTint="80" w:fill="7E7E7E" w:themeFill="text1" w:themeFillTint="80"/>
      </w:tcPr>
    </w:tblStylePr>
    <w:tblStylePr w:type="firstCol">
      <w:rPr>
        <w:rFonts w:ascii="Arial" w:hAnsi="Arial"/>
        <w:color w:val="F2F2F2"/>
        <w:sz w:val="22"/>
      </w:rPr>
      <w:tcPr>
        <w:shd w:val="clear" w:color="7E7E7E" w:themeColor="text1" w:themeTint="80" w:fill="7E7E7E" w:themeFill="text1" w:themeFillTint="80"/>
      </w:tcPr>
    </w:tblStylePr>
    <w:tblStylePr w:type="lastCol">
      <w:rPr>
        <w:rFonts w:ascii="Arial" w:hAnsi="Arial"/>
        <w:color w:val="F2F2F2"/>
        <w:sz w:val="22"/>
      </w:rPr>
      <w:tcPr>
        <w:shd w:val="clear" w:color="7E7E7E" w:themeColor="text1" w:themeTint="80" w:fill="7E7E7E" w:themeFill="text1" w:themeFillTint="80"/>
      </w:tcPr>
    </w:tblStylePr>
    <w:tblStylePr w:type="band1Vert">
      <w:rPr>
        <w:rFonts w:ascii="Arial" w:hAnsi="Arial"/>
        <w:color w:val="404040"/>
        <w:sz w:val="22"/>
      </w:rPr>
    </w:tblStylePr>
    <w:tblStylePr w:type="band2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blStylePr>
    <w:tblStylePr w:type="band2Horz">
      <w:rPr>
        <w:rFonts w:ascii="Arial" w:hAnsi="Arial"/>
        <w:color w:val="404040"/>
        <w:sz w:val="22"/>
      </w:rPr>
      <w:tcPr>
        <w:shd w:val="clear" w:color="F1F1F1" w:themeColor="text1" w:themeTint="0D" w:fill="F1F1F1" w:themeFill="text1" w:themeFillTint="0D"/>
      </w:tcPr>
    </w:tblStylePr>
  </w:style>
  <w:style w:type="table" w:customStyle="1" w:styleId="166">
    <w:name w:val="Lined - Accent 1"/>
    <w:autoRedefine/>
    <w:qFormat/>
    <w:uiPriority w:val="99"/>
    <w:pPr>
      <w:spacing w:after="0" w:line="240" w:lineRule="auto"/>
    </w:pPr>
    <w:rPr>
      <w:color w:val="404040"/>
    </w:rPr>
    <w:tblStylePr w:type="firstRow">
      <w:rPr>
        <w:rFonts w:ascii="Arial" w:hAnsi="Arial"/>
        <w:color w:val="F2F2F2"/>
        <w:sz w:val="22"/>
      </w:rPr>
      <w:tcPr>
        <w:shd w:val="clear" w:color="5D8BC2" w:themeColor="accent1" w:themeTint="EA" w:fill="5D8BC2" w:themeFill="accent1" w:themeFillTint="EA"/>
      </w:tcPr>
    </w:tblStylePr>
    <w:tblStylePr w:type="lastRow">
      <w:rPr>
        <w:rFonts w:ascii="Arial" w:hAnsi="Arial"/>
        <w:color w:val="F2F2F2"/>
        <w:sz w:val="22"/>
      </w:rPr>
      <w:tcPr>
        <w:shd w:val="clear" w:color="5D8BC2" w:themeColor="accent1" w:themeTint="EA" w:fill="5D8BC2" w:themeFill="accent1" w:themeFillTint="EA"/>
      </w:tcPr>
    </w:tblStylePr>
    <w:tblStylePr w:type="firstCol">
      <w:rPr>
        <w:rFonts w:ascii="Arial" w:hAnsi="Arial"/>
        <w:color w:val="F2F2F2"/>
        <w:sz w:val="22"/>
      </w:rPr>
      <w:tcPr>
        <w:shd w:val="clear" w:color="5D8BC2" w:themeColor="accent1" w:themeTint="EA" w:fill="5D8BC2" w:themeFill="accent1" w:themeFillTint="EA"/>
      </w:tcPr>
    </w:tblStylePr>
    <w:tblStylePr w:type="lastCol">
      <w:rPr>
        <w:rFonts w:ascii="Arial" w:hAnsi="Arial"/>
        <w:color w:val="F2F2F2"/>
        <w:sz w:val="22"/>
      </w:rPr>
      <w:tcPr>
        <w:shd w:val="clear" w:color="5D8BC2" w:themeColor="accent1" w:themeTint="EA" w:fill="5D8BC2" w:themeFill="accent1" w:themeFillTint="EA"/>
      </w:tcPr>
    </w:tblStylePr>
    <w:tblStylePr w:type="band1Vert">
      <w:rPr>
        <w:rFonts w:ascii="Arial" w:hAnsi="Arial"/>
        <w:color w:val="404040"/>
        <w:sz w:val="22"/>
      </w:rPr>
    </w:tblStylePr>
    <w:tblStylePr w:type="band2Vert">
      <w:rPr>
        <w:rFonts w:ascii="Arial" w:hAnsi="Arial"/>
        <w:color w:val="404040"/>
        <w:sz w:val="22"/>
      </w:r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cPr>
        <w:shd w:val="clear" w:color="C7D7EA" w:themeColor="accent1" w:themeTint="50" w:fill="C7D7EA" w:themeFill="accent1" w:themeFillTint="50"/>
      </w:tcPr>
    </w:tblStylePr>
  </w:style>
  <w:style w:type="table" w:customStyle="1" w:styleId="167">
    <w:name w:val="Lined - Accent 2"/>
    <w:autoRedefine/>
    <w:qFormat/>
    <w:uiPriority w:val="99"/>
    <w:pPr>
      <w:spacing w:after="0" w:line="240" w:lineRule="auto"/>
    </w:pPr>
    <w:rPr>
      <w:color w:val="404040"/>
    </w:rPr>
    <w:tblStylePr w:type="firstRow">
      <w:rPr>
        <w:rFonts w:ascii="Arial" w:hAnsi="Arial"/>
        <w:color w:val="F2F2F2"/>
        <w:sz w:val="22"/>
      </w:rPr>
      <w:tcPr>
        <w:shd w:val="clear" w:color="D99795" w:themeColor="accent2" w:themeTint="97" w:fill="D99795" w:themeFill="accent2" w:themeFillTint="97"/>
      </w:tcPr>
    </w:tblStylePr>
    <w:tblStylePr w:type="lastRow">
      <w:rPr>
        <w:rFonts w:ascii="Arial" w:hAnsi="Arial"/>
        <w:color w:val="F2F2F2"/>
        <w:sz w:val="22"/>
      </w:rPr>
      <w:tcPr>
        <w:shd w:val="clear" w:color="D99795" w:themeColor="accent2" w:themeTint="97" w:fill="D99795" w:themeFill="accent2" w:themeFillTint="97"/>
      </w:tcPr>
    </w:tblStylePr>
    <w:tblStylePr w:type="firstCol">
      <w:rPr>
        <w:rFonts w:ascii="Arial" w:hAnsi="Arial"/>
        <w:color w:val="F2F2F2"/>
        <w:sz w:val="22"/>
      </w:rPr>
      <w:tcPr>
        <w:shd w:val="clear" w:color="D99795" w:themeColor="accent2" w:themeTint="97" w:fill="D99795" w:themeFill="accent2" w:themeFillTint="97"/>
      </w:tcPr>
    </w:tblStylePr>
    <w:tblStylePr w:type="lastCol">
      <w:rPr>
        <w:rFonts w:ascii="Arial" w:hAnsi="Arial"/>
        <w:color w:val="F2F2F2"/>
        <w:sz w:val="22"/>
      </w:rPr>
      <w:tcPr>
        <w:shd w:val="clear" w:color="D99795" w:themeColor="accent2" w:themeTint="97" w:fill="D99795" w:themeFill="accent2" w:themeFillTint="97"/>
      </w:tcPr>
    </w:tblStylePr>
    <w:tblStylePr w:type="band1Vert">
      <w:rPr>
        <w:rFonts w:ascii="Arial" w:hAnsi="Arial"/>
        <w:color w:val="404040"/>
        <w:sz w:val="22"/>
      </w:rPr>
    </w:tblStylePr>
    <w:tblStylePr w:type="band2Vert">
      <w:rPr>
        <w:rFonts w:ascii="Arial" w:hAnsi="Arial"/>
        <w:color w:val="404040"/>
        <w:sz w:val="22"/>
      </w:r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cPr>
        <w:shd w:val="clear" w:color="F2DCDC" w:themeColor="accent2" w:themeTint="32" w:fill="F2DCDC" w:themeFill="accent2" w:themeFillTint="32"/>
      </w:tcPr>
    </w:tblStylePr>
  </w:style>
  <w:style w:type="table" w:customStyle="1" w:styleId="168">
    <w:name w:val="Lined - Accent 3"/>
    <w:autoRedefine/>
    <w:qFormat/>
    <w:uiPriority w:val="99"/>
    <w:pPr>
      <w:spacing w:after="0" w:line="240" w:lineRule="auto"/>
    </w:pPr>
    <w:rPr>
      <w:color w:val="404040"/>
    </w:rPr>
    <w:tblStylePr w:type="firstRow">
      <w:rPr>
        <w:rFonts w:ascii="Arial" w:hAnsi="Arial"/>
        <w:color w:val="F2F2F2"/>
        <w:sz w:val="22"/>
      </w:rPr>
      <w:tcPr>
        <w:shd w:val="clear" w:color="9BBB59" w:themeColor="accent3" w:themeTint="FE" w:fill="9BBB59" w:themeFill="accent3" w:themeFillTint="FE"/>
      </w:tcPr>
    </w:tblStylePr>
    <w:tblStylePr w:type="lastRow">
      <w:rPr>
        <w:rFonts w:ascii="Arial" w:hAnsi="Arial"/>
        <w:color w:val="F2F2F2"/>
        <w:sz w:val="22"/>
      </w:rPr>
      <w:tcPr>
        <w:shd w:val="clear" w:color="9BBB59" w:themeColor="accent3" w:themeTint="FE" w:fill="9BBB59" w:themeFill="accent3" w:themeFillTint="FE"/>
      </w:tcPr>
    </w:tblStylePr>
    <w:tblStylePr w:type="firstCol">
      <w:rPr>
        <w:rFonts w:ascii="Arial" w:hAnsi="Arial"/>
        <w:color w:val="F2F2F2"/>
        <w:sz w:val="22"/>
      </w:rPr>
      <w:tcPr>
        <w:shd w:val="clear" w:color="9BBB59" w:themeColor="accent3" w:themeTint="FE" w:fill="9BBB59" w:themeFill="accent3" w:themeFillTint="FE"/>
      </w:tcPr>
    </w:tblStylePr>
    <w:tblStylePr w:type="lastCol">
      <w:rPr>
        <w:rFonts w:ascii="Arial" w:hAnsi="Arial"/>
        <w:color w:val="F2F2F2"/>
        <w:sz w:val="22"/>
      </w:rPr>
      <w:tcPr>
        <w:shd w:val="clear" w:color="9BBB59" w:themeColor="accent3" w:themeTint="FE" w:fill="9BBB59" w:themeFill="accent3" w:themeFillTint="FE"/>
      </w:tcPr>
    </w:tblStylePr>
    <w:tblStylePr w:type="band1Vert">
      <w:rPr>
        <w:rFonts w:ascii="Arial" w:hAnsi="Arial"/>
        <w:color w:val="404040"/>
        <w:sz w:val="22"/>
      </w:rPr>
    </w:tblStylePr>
    <w:tblStylePr w:type="band2Vert">
      <w:rPr>
        <w:rFonts w:ascii="Arial" w:hAnsi="Arial"/>
        <w:color w:val="404040"/>
        <w:sz w:val="22"/>
      </w:rPr>
      <w:tcPr>
        <w:shd w:val="clear" w:color="EAF1DD" w:themeColor="accent3" w:themeTint="34" w:fill="EAF1DD" w:themeFill="accent3" w:themeFillTint="34"/>
      </w:tcPr>
    </w:tblStylePr>
    <w:tblStylePr w:type="band1Horz">
      <w:rPr>
        <w:rFonts w:ascii="Arial" w:hAnsi="Arial"/>
        <w:color w:val="404040"/>
        <w:sz w:val="22"/>
      </w:rPr>
    </w:tblStylePr>
    <w:tblStylePr w:type="band2Horz">
      <w:rPr>
        <w:rFonts w:ascii="Arial" w:hAnsi="Arial"/>
        <w:color w:val="404040"/>
        <w:sz w:val="22"/>
      </w:rPr>
      <w:tcPr>
        <w:shd w:val="clear" w:color="EAF1DD" w:themeColor="accent3" w:themeTint="34" w:fill="EAF1DD" w:themeFill="accent3" w:themeFillTint="34"/>
      </w:tcPr>
    </w:tblStylePr>
  </w:style>
  <w:style w:type="table" w:customStyle="1" w:styleId="169">
    <w:name w:val="Lined - Accent 4"/>
    <w:autoRedefine/>
    <w:qFormat/>
    <w:uiPriority w:val="99"/>
    <w:pPr>
      <w:spacing w:after="0" w:line="240" w:lineRule="auto"/>
    </w:pPr>
    <w:rPr>
      <w:color w:val="404040"/>
    </w:rPr>
    <w:tblStylePr w:type="firstRow">
      <w:rPr>
        <w:rFonts w:ascii="Arial" w:hAnsi="Arial"/>
        <w:color w:val="F2F2F2"/>
        <w:sz w:val="22"/>
      </w:rPr>
      <w:tcPr>
        <w:shd w:val="clear" w:color="B2A1C6" w:themeColor="accent4" w:themeTint="9A" w:fill="B2A1C6" w:themeFill="accent4" w:themeFillTint="9A"/>
      </w:tcPr>
    </w:tblStylePr>
    <w:tblStylePr w:type="lastRow">
      <w:rPr>
        <w:rFonts w:ascii="Arial" w:hAnsi="Arial"/>
        <w:color w:val="F2F2F2"/>
        <w:sz w:val="22"/>
      </w:rPr>
      <w:tcPr>
        <w:shd w:val="clear" w:color="B2A1C6" w:themeColor="accent4" w:themeTint="9A" w:fill="B2A1C6" w:themeFill="accent4" w:themeFillTint="9A"/>
      </w:tcPr>
    </w:tblStylePr>
    <w:tblStylePr w:type="firstCol">
      <w:rPr>
        <w:rFonts w:ascii="Arial" w:hAnsi="Arial"/>
        <w:color w:val="F2F2F2"/>
        <w:sz w:val="22"/>
      </w:rPr>
      <w:tcPr>
        <w:shd w:val="clear" w:color="B2A1C6" w:themeColor="accent4" w:themeTint="9A" w:fill="B2A1C6" w:themeFill="accent4" w:themeFillTint="9A"/>
      </w:tcPr>
    </w:tblStylePr>
    <w:tblStylePr w:type="lastCol">
      <w:rPr>
        <w:rFonts w:ascii="Arial" w:hAnsi="Arial"/>
        <w:color w:val="F2F2F2"/>
        <w:sz w:val="22"/>
      </w:r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cPr>
        <w:shd w:val="clear" w:color="E5DFEC" w:themeColor="accent4" w:themeTint="34" w:fill="E5DFEC" w:themeFill="accent4" w:themeFillTint="34"/>
      </w:tcPr>
    </w:tblStylePr>
  </w:style>
  <w:style w:type="table" w:customStyle="1" w:styleId="170">
    <w:name w:val="Lined - Accent 5"/>
    <w:autoRedefine/>
    <w:qFormat/>
    <w:uiPriority w:val="99"/>
    <w:pPr>
      <w:spacing w:after="0" w:line="240" w:lineRule="auto"/>
    </w:pPr>
    <w:rPr>
      <w:color w:val="404040"/>
    </w:rPr>
    <w:tblStylePr w:type="firstRow">
      <w:rPr>
        <w:rFonts w:ascii="Arial" w:hAnsi="Arial"/>
        <w:color w:val="F2F2F2"/>
        <w:sz w:val="22"/>
      </w:rPr>
      <w:tcPr>
        <w:shd w:val="clear" w:color="4BACC6" w:themeColor="accent5" w:fill="4BACC6" w:themeFill="accent5"/>
      </w:tcPr>
    </w:tblStylePr>
    <w:tblStylePr w:type="lastRow">
      <w:rPr>
        <w:rFonts w:ascii="Arial" w:hAnsi="Arial"/>
        <w:color w:val="F2F2F2"/>
        <w:sz w:val="22"/>
      </w:rPr>
      <w:tcPr>
        <w:shd w:val="clear" w:color="4BACC6" w:themeColor="accent5" w:fill="4BACC6" w:themeFill="accent5"/>
      </w:tcPr>
    </w:tblStylePr>
    <w:tblStylePr w:type="firstCol">
      <w:rPr>
        <w:rFonts w:ascii="Arial" w:hAnsi="Arial"/>
        <w:color w:val="F2F2F2"/>
        <w:sz w:val="22"/>
      </w:rPr>
      <w:tcPr>
        <w:shd w:val="clear" w:color="4BACC6" w:themeColor="accent5" w:fill="4BACC6" w:themeFill="accent5"/>
      </w:tcPr>
    </w:tblStylePr>
    <w:tblStylePr w:type="lastCol">
      <w:rPr>
        <w:rFonts w:ascii="Arial" w:hAnsi="Arial"/>
        <w:color w:val="F2F2F2"/>
        <w:sz w:val="22"/>
      </w:r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cPr>
        <w:shd w:val="clear" w:color="DAEEF3" w:themeColor="accent5" w:themeTint="34" w:fill="DAEEF3" w:themeFill="accent5" w:themeFillTint="34"/>
      </w:tcPr>
    </w:tblStylePr>
  </w:style>
  <w:style w:type="table" w:customStyle="1" w:styleId="171">
    <w:name w:val="Lined - Accent 6"/>
    <w:autoRedefine/>
    <w:qFormat/>
    <w:uiPriority w:val="99"/>
    <w:pPr>
      <w:spacing w:after="0" w:line="240" w:lineRule="auto"/>
    </w:pPr>
    <w:rPr>
      <w:color w:val="404040"/>
    </w:rPr>
    <w:tblStylePr w:type="firstRow">
      <w:rPr>
        <w:rFonts w:ascii="Arial" w:hAnsi="Arial"/>
        <w:color w:val="F2F2F2"/>
        <w:sz w:val="22"/>
      </w:rPr>
      <w:tcPr>
        <w:shd w:val="clear" w:color="F79646" w:themeColor="accent6" w:fill="F79646" w:themeFill="accent6"/>
      </w:tcPr>
    </w:tblStylePr>
    <w:tblStylePr w:type="lastRow">
      <w:rPr>
        <w:rFonts w:ascii="Arial" w:hAnsi="Arial"/>
        <w:color w:val="F2F2F2"/>
        <w:sz w:val="22"/>
      </w:rPr>
      <w:tcPr>
        <w:shd w:val="clear" w:color="F79646" w:themeColor="accent6" w:fill="F79646" w:themeFill="accent6"/>
      </w:tcPr>
    </w:tblStylePr>
    <w:tblStylePr w:type="firstCol">
      <w:rPr>
        <w:rFonts w:ascii="Arial" w:hAnsi="Arial"/>
        <w:color w:val="F2F2F2"/>
        <w:sz w:val="22"/>
      </w:rPr>
      <w:tcPr>
        <w:shd w:val="clear" w:color="F79646" w:themeColor="accent6" w:fill="F79646" w:themeFill="accent6"/>
      </w:tcPr>
    </w:tblStylePr>
    <w:tblStylePr w:type="lastCol">
      <w:rPr>
        <w:rFonts w:ascii="Arial" w:hAnsi="Arial"/>
        <w:color w:val="F2F2F2"/>
        <w:sz w:val="22"/>
      </w:r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cPr>
        <w:shd w:val="clear" w:color="FDE9D9" w:themeColor="accent6" w:themeTint="34" w:fill="FDE9D9" w:themeFill="accent6" w:themeFillTint="34"/>
      </w:tcPr>
    </w:tblStylePr>
    <w:tblStylePr w:type="band1Horz">
      <w:rPr>
        <w:rFonts w:ascii="Arial" w:hAnsi="Arial"/>
        <w:color w:val="404040"/>
        <w:sz w:val="22"/>
      </w:rPr>
    </w:tblStylePr>
    <w:tblStylePr w:type="band2Horz">
      <w:rPr>
        <w:rFonts w:ascii="Arial" w:hAnsi="Arial"/>
        <w:color w:val="404040"/>
        <w:sz w:val="22"/>
      </w:rPr>
      <w:tcPr>
        <w:shd w:val="clear" w:color="FDE9D9" w:themeColor="accent6" w:themeTint="34" w:fill="FDE9D9" w:themeFill="accent6" w:themeFillTint="34"/>
      </w:tcPr>
    </w:tblStylePr>
  </w:style>
  <w:style w:type="table" w:customStyle="1" w:styleId="172">
    <w:name w:val="Bordered &amp; Lined - Accent"/>
    <w:autoRedefine/>
    <w:qFormat/>
    <w:uiPriority w:val="99"/>
    <w:pPr>
      <w:spacing w:after="0" w:line="240" w:lineRule="auto"/>
    </w:pPr>
    <w:rPr>
      <w:color w:val="404040"/>
    </w:rPr>
    <w:tblPr>
      <w:tblBorders>
        <w:top w:val="single" w:color="585858" w:themeColor="text1" w:themeTint="A6" w:sz="4" w:space="0"/>
        <w:left w:val="single" w:color="585858" w:themeColor="text1" w:themeTint="A6" w:sz="4" w:space="0"/>
        <w:bottom w:val="single" w:color="585858" w:themeColor="text1" w:themeTint="A6" w:sz="4" w:space="0"/>
        <w:right w:val="single" w:color="585858" w:themeColor="text1" w:themeTint="A6" w:sz="4" w:space="0"/>
        <w:insideH w:val="single" w:color="585858" w:themeColor="text1" w:themeTint="A6" w:sz="4" w:space="0"/>
        <w:insideV w:val="single" w:color="585858" w:themeColor="text1" w:themeTint="A6" w:sz="4" w:space="0"/>
      </w:tblBorders>
    </w:tblPr>
    <w:tblStylePr w:type="firstRow">
      <w:rPr>
        <w:rFonts w:ascii="Arial" w:hAnsi="Arial"/>
        <w:color w:val="F2F2F2"/>
        <w:sz w:val="22"/>
      </w:rPr>
      <w:tcPr>
        <w:shd w:val="clear" w:color="7E7E7E" w:themeColor="text1" w:themeTint="80" w:fill="7E7E7E" w:themeFill="text1" w:themeFillTint="80"/>
      </w:tcPr>
    </w:tblStylePr>
    <w:tblStylePr w:type="lastRow">
      <w:rPr>
        <w:rFonts w:ascii="Arial" w:hAnsi="Arial"/>
        <w:color w:val="F2F2F2"/>
        <w:sz w:val="22"/>
      </w:rPr>
      <w:tcPr>
        <w:shd w:val="clear" w:color="7E7E7E" w:themeColor="text1" w:themeTint="80" w:fill="7E7E7E" w:themeFill="text1" w:themeFillTint="80"/>
      </w:tcPr>
    </w:tblStylePr>
    <w:tblStylePr w:type="firstCol">
      <w:rPr>
        <w:rFonts w:ascii="Arial" w:hAnsi="Arial"/>
        <w:color w:val="F2F2F2"/>
        <w:sz w:val="22"/>
      </w:rPr>
      <w:tcPr>
        <w:shd w:val="clear" w:color="7E7E7E" w:themeColor="text1" w:themeTint="80" w:fill="7E7E7E" w:themeFill="text1" w:themeFillTint="80"/>
      </w:tcPr>
    </w:tblStylePr>
    <w:tblStylePr w:type="lastCol">
      <w:rPr>
        <w:rFonts w:ascii="Arial" w:hAnsi="Arial"/>
        <w:color w:val="F2F2F2"/>
        <w:sz w:val="22"/>
      </w:rPr>
      <w:tcPr>
        <w:shd w:val="clear" w:color="7E7E7E" w:themeColor="text1" w:themeTint="80" w:fill="7E7E7E" w:themeFill="text1" w:themeFillTint="80"/>
      </w:tcPr>
    </w:tblStylePr>
    <w:tblStylePr w:type="band1Vert">
      <w:rPr>
        <w:rFonts w:ascii="Arial" w:hAnsi="Arial"/>
        <w:color w:val="404040"/>
        <w:sz w:val="22"/>
      </w:rPr>
    </w:tblStylePr>
    <w:tblStylePr w:type="band2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blStylePr>
    <w:tblStylePr w:type="band2Horz">
      <w:rPr>
        <w:rFonts w:ascii="Arial" w:hAnsi="Arial"/>
        <w:color w:val="404040"/>
        <w:sz w:val="22"/>
      </w:rPr>
      <w:tcPr>
        <w:shd w:val="clear" w:color="F1F1F1" w:themeColor="text1" w:themeTint="0D" w:fill="F1F1F1" w:themeFill="text1" w:themeFillTint="0D"/>
      </w:tcPr>
    </w:tblStylePr>
  </w:style>
  <w:style w:type="table" w:customStyle="1" w:styleId="173">
    <w:name w:val="Bordered &amp; Lined - Accent 1"/>
    <w:autoRedefine/>
    <w:qFormat/>
    <w:uiPriority w:val="99"/>
    <w:pPr>
      <w:spacing w:after="0" w:line="240" w:lineRule="auto"/>
    </w:pPr>
    <w:rPr>
      <w:color w:val="404040"/>
    </w:rPr>
    <w:tblPr>
      <w:tblBorders>
        <w:top w:val="single" w:color="2A4B71" w:themeColor="accent1" w:themeShade="95" w:sz="4" w:space="0"/>
        <w:left w:val="single" w:color="2A4B71" w:themeColor="accent1" w:themeShade="95" w:sz="4" w:space="0"/>
        <w:bottom w:val="single" w:color="2A4B71" w:themeColor="accent1" w:themeShade="95" w:sz="4" w:space="0"/>
        <w:right w:val="single" w:color="2A4B71" w:themeColor="accent1" w:themeShade="95" w:sz="4" w:space="0"/>
        <w:insideH w:val="single" w:color="2A4B71" w:themeColor="accent1" w:themeShade="95" w:sz="4" w:space="0"/>
        <w:insideV w:val="single" w:color="2A4B71" w:themeColor="accent1" w:themeShade="95" w:sz="4" w:space="0"/>
      </w:tblBorders>
    </w:tblPr>
    <w:tblStylePr w:type="firstRow">
      <w:rPr>
        <w:rFonts w:ascii="Arial" w:hAnsi="Arial"/>
        <w:color w:val="F2F2F2"/>
        <w:sz w:val="22"/>
      </w:rPr>
      <w:tcPr>
        <w:shd w:val="clear" w:color="5D8BC2" w:themeColor="accent1" w:themeTint="EA" w:fill="5D8BC2" w:themeFill="accent1" w:themeFillTint="EA"/>
      </w:tcPr>
    </w:tblStylePr>
    <w:tblStylePr w:type="lastRow">
      <w:rPr>
        <w:rFonts w:ascii="Arial" w:hAnsi="Arial"/>
        <w:color w:val="F2F2F2"/>
        <w:sz w:val="22"/>
      </w:rPr>
      <w:tcPr>
        <w:shd w:val="clear" w:color="5D8BC2" w:themeColor="accent1" w:themeTint="EA" w:fill="5D8BC2" w:themeFill="accent1" w:themeFillTint="EA"/>
      </w:tcPr>
    </w:tblStylePr>
    <w:tblStylePr w:type="firstCol">
      <w:rPr>
        <w:rFonts w:ascii="Arial" w:hAnsi="Arial"/>
        <w:color w:val="F2F2F2"/>
        <w:sz w:val="22"/>
      </w:rPr>
      <w:tcPr>
        <w:shd w:val="clear" w:color="5D8BC2" w:themeColor="accent1" w:themeTint="EA" w:fill="5D8BC2" w:themeFill="accent1" w:themeFillTint="EA"/>
      </w:tcPr>
    </w:tblStylePr>
    <w:tblStylePr w:type="lastCol">
      <w:rPr>
        <w:rFonts w:ascii="Arial" w:hAnsi="Arial"/>
        <w:color w:val="F2F2F2"/>
        <w:sz w:val="22"/>
      </w:rPr>
      <w:tcPr>
        <w:shd w:val="clear" w:color="5D8BC2" w:themeColor="accent1" w:themeTint="EA" w:fill="5D8BC2" w:themeFill="accent1" w:themeFillTint="EA"/>
      </w:tcPr>
    </w:tblStylePr>
    <w:tblStylePr w:type="band1Vert">
      <w:rPr>
        <w:rFonts w:ascii="Arial" w:hAnsi="Arial"/>
        <w:color w:val="404040"/>
        <w:sz w:val="22"/>
      </w:rPr>
    </w:tblStylePr>
    <w:tblStylePr w:type="band2Vert">
      <w:rPr>
        <w:rFonts w:ascii="Arial" w:hAnsi="Arial"/>
        <w:color w:val="404040"/>
        <w:sz w:val="22"/>
      </w:r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cPr>
        <w:shd w:val="clear" w:color="C7D7EA" w:themeColor="accent1" w:themeTint="50" w:fill="C7D7EA" w:themeFill="accent1" w:themeFillTint="50"/>
      </w:tcPr>
    </w:tblStylePr>
  </w:style>
  <w:style w:type="table" w:customStyle="1" w:styleId="174">
    <w:name w:val="Bordered &amp; Lined - Accent 2"/>
    <w:autoRedefine/>
    <w:qFormat/>
    <w:uiPriority w:val="99"/>
    <w:pPr>
      <w:spacing w:after="0" w:line="240" w:lineRule="auto"/>
    </w:pPr>
    <w:rPr>
      <w:color w:val="404040"/>
    </w:rPr>
    <w:tblPr>
      <w:tblBorders>
        <w:top w:val="single" w:color="742B29" w:themeColor="accent2" w:themeShade="95" w:sz="4" w:space="0"/>
        <w:left w:val="single" w:color="742B29" w:themeColor="accent2" w:themeShade="95" w:sz="4" w:space="0"/>
        <w:bottom w:val="single" w:color="742B29" w:themeColor="accent2" w:themeShade="95" w:sz="4" w:space="0"/>
        <w:right w:val="single" w:color="742B29" w:themeColor="accent2" w:themeShade="95" w:sz="4" w:space="0"/>
        <w:insideH w:val="single" w:color="742B29" w:themeColor="accent2" w:themeShade="95" w:sz="4" w:space="0"/>
        <w:insideV w:val="single" w:color="742B29" w:themeColor="accent2" w:themeShade="95" w:sz="4" w:space="0"/>
      </w:tblBorders>
    </w:tblPr>
    <w:tblStylePr w:type="firstRow">
      <w:rPr>
        <w:rFonts w:ascii="Arial" w:hAnsi="Arial"/>
        <w:color w:val="F2F2F2"/>
        <w:sz w:val="22"/>
      </w:rPr>
      <w:tcPr>
        <w:shd w:val="clear" w:color="D99795" w:themeColor="accent2" w:themeTint="97" w:fill="D99795" w:themeFill="accent2" w:themeFillTint="97"/>
      </w:tcPr>
    </w:tblStylePr>
    <w:tblStylePr w:type="lastRow">
      <w:rPr>
        <w:rFonts w:ascii="Arial" w:hAnsi="Arial"/>
        <w:color w:val="F2F2F2"/>
        <w:sz w:val="22"/>
      </w:rPr>
      <w:tcPr>
        <w:shd w:val="clear" w:color="D99795" w:themeColor="accent2" w:themeTint="97" w:fill="D99795" w:themeFill="accent2" w:themeFillTint="97"/>
      </w:tcPr>
    </w:tblStylePr>
    <w:tblStylePr w:type="firstCol">
      <w:rPr>
        <w:rFonts w:ascii="Arial" w:hAnsi="Arial"/>
        <w:color w:val="F2F2F2"/>
        <w:sz w:val="22"/>
      </w:rPr>
      <w:tcPr>
        <w:shd w:val="clear" w:color="D99795" w:themeColor="accent2" w:themeTint="97" w:fill="D99795" w:themeFill="accent2" w:themeFillTint="97"/>
      </w:tcPr>
    </w:tblStylePr>
    <w:tblStylePr w:type="lastCol">
      <w:rPr>
        <w:rFonts w:ascii="Arial" w:hAnsi="Arial"/>
        <w:color w:val="F2F2F2"/>
        <w:sz w:val="22"/>
      </w:rPr>
      <w:tcPr>
        <w:shd w:val="clear" w:color="D99795" w:themeColor="accent2" w:themeTint="97" w:fill="D99795" w:themeFill="accent2" w:themeFillTint="97"/>
      </w:tcPr>
    </w:tblStylePr>
    <w:tblStylePr w:type="band1Vert">
      <w:rPr>
        <w:rFonts w:ascii="Arial" w:hAnsi="Arial"/>
        <w:color w:val="404040"/>
        <w:sz w:val="22"/>
      </w:rPr>
    </w:tblStylePr>
    <w:tblStylePr w:type="band2Vert">
      <w:rPr>
        <w:rFonts w:ascii="Arial" w:hAnsi="Arial"/>
        <w:color w:val="404040"/>
        <w:sz w:val="22"/>
      </w:r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cPr>
        <w:shd w:val="clear" w:color="F2DCDC" w:themeColor="accent2" w:themeTint="32" w:fill="F2DCDC" w:themeFill="accent2" w:themeFillTint="32"/>
      </w:tcPr>
    </w:tblStylePr>
  </w:style>
  <w:style w:type="table" w:customStyle="1" w:styleId="175">
    <w:name w:val="Bordered &amp; Lined - Accent 3"/>
    <w:autoRedefine/>
    <w:qFormat/>
    <w:uiPriority w:val="99"/>
    <w:pPr>
      <w:spacing w:after="0" w:line="240" w:lineRule="auto"/>
    </w:pPr>
    <w:rPr>
      <w:color w:val="404040"/>
    </w:rPr>
    <w:tblPr>
      <w:tblBorders>
        <w:top w:val="single" w:color="5C722E" w:themeColor="accent3" w:themeShade="95" w:sz="4" w:space="0"/>
        <w:left w:val="single" w:color="5C722E" w:themeColor="accent3" w:themeShade="95" w:sz="4" w:space="0"/>
        <w:bottom w:val="single" w:color="5C722E" w:themeColor="accent3" w:themeShade="95" w:sz="4" w:space="0"/>
        <w:right w:val="single" w:color="5C722E" w:themeColor="accent3" w:themeShade="95" w:sz="4" w:space="0"/>
        <w:insideH w:val="single" w:color="5C722E" w:themeColor="accent3" w:themeShade="95" w:sz="4" w:space="0"/>
        <w:insideV w:val="single" w:color="5C722E" w:themeColor="accent3" w:themeShade="95" w:sz="4" w:space="0"/>
      </w:tblBorders>
    </w:tblPr>
    <w:tblStylePr w:type="firstRow">
      <w:rPr>
        <w:rFonts w:ascii="Arial" w:hAnsi="Arial"/>
        <w:color w:val="F2F2F2"/>
        <w:sz w:val="22"/>
      </w:rPr>
      <w:tcPr>
        <w:shd w:val="clear" w:color="9BBB59" w:themeColor="accent3" w:themeTint="FE" w:fill="9BBB59" w:themeFill="accent3" w:themeFillTint="FE"/>
      </w:tcPr>
    </w:tblStylePr>
    <w:tblStylePr w:type="lastRow">
      <w:rPr>
        <w:rFonts w:ascii="Arial" w:hAnsi="Arial"/>
        <w:color w:val="F2F2F2"/>
        <w:sz w:val="22"/>
      </w:rPr>
      <w:tcPr>
        <w:shd w:val="clear" w:color="9BBB59" w:themeColor="accent3" w:themeTint="FE" w:fill="9BBB59" w:themeFill="accent3" w:themeFillTint="FE"/>
      </w:tcPr>
    </w:tblStylePr>
    <w:tblStylePr w:type="firstCol">
      <w:rPr>
        <w:rFonts w:ascii="Arial" w:hAnsi="Arial"/>
        <w:color w:val="F2F2F2"/>
        <w:sz w:val="22"/>
      </w:rPr>
      <w:tcPr>
        <w:shd w:val="clear" w:color="9BBB59" w:themeColor="accent3" w:themeTint="FE" w:fill="9BBB59" w:themeFill="accent3" w:themeFillTint="FE"/>
      </w:tcPr>
    </w:tblStylePr>
    <w:tblStylePr w:type="lastCol">
      <w:rPr>
        <w:rFonts w:ascii="Arial" w:hAnsi="Arial"/>
        <w:color w:val="F2F2F2"/>
        <w:sz w:val="22"/>
      </w:rPr>
      <w:tcPr>
        <w:shd w:val="clear" w:color="9BBB59" w:themeColor="accent3" w:themeTint="FE" w:fill="9BBB59" w:themeFill="accent3" w:themeFillTint="FE"/>
      </w:tcPr>
    </w:tblStylePr>
    <w:tblStylePr w:type="band1Vert">
      <w:rPr>
        <w:rFonts w:ascii="Arial" w:hAnsi="Arial"/>
        <w:color w:val="404040"/>
        <w:sz w:val="22"/>
      </w:rPr>
    </w:tblStylePr>
    <w:tblStylePr w:type="band2Vert">
      <w:rPr>
        <w:rFonts w:ascii="Arial" w:hAnsi="Arial"/>
        <w:color w:val="404040"/>
        <w:sz w:val="22"/>
      </w:rPr>
      <w:tcPr>
        <w:shd w:val="clear" w:color="EAF1DD" w:themeColor="accent3" w:themeTint="34" w:fill="EAF1DD" w:themeFill="accent3" w:themeFillTint="34"/>
      </w:tcPr>
    </w:tblStylePr>
    <w:tblStylePr w:type="band1Horz">
      <w:rPr>
        <w:rFonts w:ascii="Arial" w:hAnsi="Arial"/>
        <w:color w:val="404040"/>
        <w:sz w:val="22"/>
      </w:rPr>
    </w:tblStylePr>
    <w:tblStylePr w:type="band2Horz">
      <w:rPr>
        <w:rFonts w:ascii="Arial" w:hAnsi="Arial"/>
        <w:color w:val="404040"/>
        <w:sz w:val="22"/>
      </w:rPr>
      <w:tcPr>
        <w:shd w:val="clear" w:color="EAF1DD" w:themeColor="accent3" w:themeTint="34" w:fill="EAF1DD" w:themeFill="accent3" w:themeFillTint="34"/>
      </w:tcPr>
    </w:tblStylePr>
  </w:style>
  <w:style w:type="table" w:customStyle="1" w:styleId="176">
    <w:name w:val="Bordered &amp; Lined - Accent 4"/>
    <w:autoRedefine/>
    <w:qFormat/>
    <w:uiPriority w:val="99"/>
    <w:pPr>
      <w:spacing w:after="0" w:line="240" w:lineRule="auto"/>
    </w:pPr>
    <w:rPr>
      <w:color w:val="404040"/>
    </w:rPr>
    <w:tblPr>
      <w:tblBorders>
        <w:top w:val="single" w:color="4A395F" w:themeColor="accent4" w:themeShade="95" w:sz="4" w:space="0"/>
        <w:left w:val="single" w:color="4A395F" w:themeColor="accent4" w:themeShade="95" w:sz="4" w:space="0"/>
        <w:bottom w:val="single" w:color="4A395F" w:themeColor="accent4" w:themeShade="95" w:sz="4" w:space="0"/>
        <w:right w:val="single" w:color="4A395F" w:themeColor="accent4" w:themeShade="95" w:sz="4" w:space="0"/>
        <w:insideH w:val="single" w:color="4A395F" w:themeColor="accent4" w:themeShade="95" w:sz="4" w:space="0"/>
        <w:insideV w:val="single" w:color="4A395F" w:themeColor="accent4" w:themeShade="95" w:sz="4" w:space="0"/>
      </w:tblBorders>
    </w:tblPr>
    <w:tblStylePr w:type="firstRow">
      <w:rPr>
        <w:rFonts w:ascii="Arial" w:hAnsi="Arial"/>
        <w:color w:val="F2F2F2"/>
        <w:sz w:val="22"/>
      </w:rPr>
      <w:tcPr>
        <w:shd w:val="clear" w:color="B2A1C6" w:themeColor="accent4" w:themeTint="9A" w:fill="B2A1C6" w:themeFill="accent4" w:themeFillTint="9A"/>
      </w:tcPr>
    </w:tblStylePr>
    <w:tblStylePr w:type="lastRow">
      <w:rPr>
        <w:rFonts w:ascii="Arial" w:hAnsi="Arial"/>
        <w:color w:val="F2F2F2"/>
        <w:sz w:val="22"/>
      </w:rPr>
      <w:tcPr>
        <w:shd w:val="clear" w:color="B2A1C6" w:themeColor="accent4" w:themeTint="9A" w:fill="B2A1C6" w:themeFill="accent4" w:themeFillTint="9A"/>
      </w:tcPr>
    </w:tblStylePr>
    <w:tblStylePr w:type="firstCol">
      <w:rPr>
        <w:rFonts w:ascii="Arial" w:hAnsi="Arial"/>
        <w:color w:val="F2F2F2"/>
        <w:sz w:val="22"/>
      </w:rPr>
      <w:tcPr>
        <w:shd w:val="clear" w:color="B2A1C6" w:themeColor="accent4" w:themeTint="9A" w:fill="B2A1C6" w:themeFill="accent4" w:themeFillTint="9A"/>
      </w:tcPr>
    </w:tblStylePr>
    <w:tblStylePr w:type="lastCol">
      <w:rPr>
        <w:rFonts w:ascii="Arial" w:hAnsi="Arial"/>
        <w:color w:val="F2F2F2"/>
        <w:sz w:val="22"/>
      </w:r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cPr>
        <w:shd w:val="clear" w:color="E5DFEC" w:themeColor="accent4" w:themeTint="34" w:fill="E5DFEC" w:themeFill="accent4" w:themeFillTint="34"/>
      </w:tcPr>
    </w:tblStylePr>
  </w:style>
  <w:style w:type="table" w:customStyle="1" w:styleId="177">
    <w:name w:val="Bordered &amp; Lined - Accent 5"/>
    <w:autoRedefine/>
    <w:qFormat/>
    <w:uiPriority w:val="99"/>
    <w:pPr>
      <w:spacing w:after="0" w:line="240" w:lineRule="auto"/>
    </w:pPr>
    <w:rPr>
      <w:color w:val="404040"/>
    </w:rPr>
    <w:tblPr>
      <w:tblBorders>
        <w:top w:val="single" w:color="266779" w:themeColor="accent5" w:themeShade="95" w:sz="4" w:space="0"/>
        <w:left w:val="single" w:color="266779" w:themeColor="accent5" w:themeShade="95" w:sz="4" w:space="0"/>
        <w:bottom w:val="single" w:color="266779" w:themeColor="accent5" w:themeShade="95" w:sz="4" w:space="0"/>
        <w:right w:val="single" w:color="266779" w:themeColor="accent5" w:themeShade="95" w:sz="4" w:space="0"/>
        <w:insideH w:val="single" w:color="266779" w:themeColor="accent5" w:themeShade="95" w:sz="4" w:space="0"/>
        <w:insideV w:val="single" w:color="266779" w:themeColor="accent5" w:themeShade="95" w:sz="4" w:space="0"/>
      </w:tblBorders>
    </w:tblPr>
    <w:tblStylePr w:type="firstRow">
      <w:rPr>
        <w:rFonts w:ascii="Arial" w:hAnsi="Arial"/>
        <w:color w:val="F2F2F2"/>
        <w:sz w:val="22"/>
      </w:rPr>
      <w:tcPr>
        <w:shd w:val="clear" w:color="4BACC6" w:themeColor="accent5" w:fill="4BACC6" w:themeFill="accent5"/>
      </w:tcPr>
    </w:tblStylePr>
    <w:tblStylePr w:type="lastRow">
      <w:rPr>
        <w:rFonts w:ascii="Arial" w:hAnsi="Arial"/>
        <w:color w:val="F2F2F2"/>
        <w:sz w:val="22"/>
      </w:rPr>
      <w:tcPr>
        <w:shd w:val="clear" w:color="4BACC6" w:themeColor="accent5" w:fill="4BACC6" w:themeFill="accent5"/>
      </w:tcPr>
    </w:tblStylePr>
    <w:tblStylePr w:type="firstCol">
      <w:rPr>
        <w:rFonts w:ascii="Arial" w:hAnsi="Arial"/>
        <w:color w:val="F2F2F2"/>
        <w:sz w:val="22"/>
      </w:rPr>
      <w:tcPr>
        <w:shd w:val="clear" w:color="4BACC6" w:themeColor="accent5" w:fill="4BACC6" w:themeFill="accent5"/>
      </w:tcPr>
    </w:tblStylePr>
    <w:tblStylePr w:type="lastCol">
      <w:rPr>
        <w:rFonts w:ascii="Arial" w:hAnsi="Arial"/>
        <w:color w:val="F2F2F2"/>
        <w:sz w:val="22"/>
      </w:r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cPr>
        <w:shd w:val="clear" w:color="DAEEF3" w:themeColor="accent5" w:themeTint="34" w:fill="DAEEF3" w:themeFill="accent5" w:themeFillTint="34"/>
      </w:tcPr>
    </w:tblStylePr>
  </w:style>
  <w:style w:type="table" w:customStyle="1" w:styleId="178">
    <w:name w:val="Bordered &amp; Lined - Accent 6"/>
    <w:autoRedefine/>
    <w:qFormat/>
    <w:uiPriority w:val="99"/>
    <w:pPr>
      <w:spacing w:after="0" w:line="240" w:lineRule="auto"/>
    </w:pPr>
    <w:rPr>
      <w:color w:val="404040"/>
    </w:rPr>
    <w:tblPr>
      <w:tblBorders>
        <w:top w:val="single" w:color="B15407" w:themeColor="accent6" w:themeShade="95" w:sz="4" w:space="0"/>
        <w:left w:val="single" w:color="B15407" w:themeColor="accent6" w:themeShade="95" w:sz="4" w:space="0"/>
        <w:bottom w:val="single" w:color="B15407" w:themeColor="accent6" w:themeShade="95" w:sz="4" w:space="0"/>
        <w:right w:val="single" w:color="B15407" w:themeColor="accent6" w:themeShade="95" w:sz="4" w:space="0"/>
        <w:insideH w:val="single" w:color="B15407" w:themeColor="accent6" w:themeShade="95" w:sz="4" w:space="0"/>
        <w:insideV w:val="single" w:color="B15407" w:themeColor="accent6" w:themeShade="95" w:sz="4" w:space="0"/>
      </w:tblBorders>
    </w:tblPr>
    <w:tblStylePr w:type="firstRow">
      <w:rPr>
        <w:rFonts w:ascii="Arial" w:hAnsi="Arial"/>
        <w:color w:val="F2F2F2"/>
        <w:sz w:val="22"/>
      </w:rPr>
      <w:tcPr>
        <w:shd w:val="clear" w:color="F79646" w:themeColor="accent6" w:fill="F79646" w:themeFill="accent6"/>
      </w:tcPr>
    </w:tblStylePr>
    <w:tblStylePr w:type="lastRow">
      <w:rPr>
        <w:rFonts w:ascii="Arial" w:hAnsi="Arial"/>
        <w:color w:val="F2F2F2"/>
        <w:sz w:val="22"/>
      </w:rPr>
      <w:tcPr>
        <w:shd w:val="clear" w:color="F79646" w:themeColor="accent6" w:fill="F79646" w:themeFill="accent6"/>
      </w:tcPr>
    </w:tblStylePr>
    <w:tblStylePr w:type="firstCol">
      <w:rPr>
        <w:rFonts w:ascii="Arial" w:hAnsi="Arial"/>
        <w:color w:val="F2F2F2"/>
        <w:sz w:val="22"/>
      </w:rPr>
      <w:tcPr>
        <w:shd w:val="clear" w:color="F79646" w:themeColor="accent6" w:fill="F79646" w:themeFill="accent6"/>
      </w:tcPr>
    </w:tblStylePr>
    <w:tblStylePr w:type="lastCol">
      <w:rPr>
        <w:rFonts w:ascii="Arial" w:hAnsi="Arial"/>
        <w:color w:val="F2F2F2"/>
        <w:sz w:val="22"/>
      </w:r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cPr>
        <w:shd w:val="clear" w:color="FDE9D9" w:themeColor="accent6" w:themeTint="34" w:fill="FDE9D9" w:themeFill="accent6" w:themeFillTint="34"/>
      </w:tcPr>
    </w:tblStylePr>
    <w:tblStylePr w:type="band1Horz">
      <w:rPr>
        <w:rFonts w:ascii="Arial" w:hAnsi="Arial"/>
        <w:color w:val="404040"/>
        <w:sz w:val="22"/>
      </w:rPr>
    </w:tblStylePr>
    <w:tblStylePr w:type="band2Horz">
      <w:rPr>
        <w:rFonts w:ascii="Arial" w:hAnsi="Arial"/>
        <w:color w:val="404040"/>
        <w:sz w:val="22"/>
      </w:rPr>
      <w:tcPr>
        <w:shd w:val="clear" w:color="FDE9D9" w:themeColor="accent6" w:themeTint="34" w:fill="FDE9D9" w:themeFill="accent6" w:themeFillTint="34"/>
      </w:tcPr>
    </w:tblStylePr>
  </w:style>
  <w:style w:type="table" w:customStyle="1" w:styleId="179">
    <w:name w:val="Bordered"/>
    <w:autoRedefine/>
    <w:qFormat/>
    <w:uiPriority w:val="99"/>
    <w:pPr>
      <w:spacing w:after="0" w:line="240" w:lineRule="auto"/>
    </w:pPr>
    <w:tblPr>
      <w:tblBorders>
        <w:top w:val="single" w:color="D8D8D8" w:themeColor="text1" w:themeTint="26" w:sz="4" w:space="0"/>
        <w:left w:val="single" w:color="D8D8D8" w:themeColor="text1" w:themeTint="26" w:sz="4" w:space="0"/>
        <w:bottom w:val="single" w:color="D8D8D8" w:themeColor="text1" w:themeTint="26" w:sz="4" w:space="0"/>
        <w:right w:val="single" w:color="D8D8D8" w:themeColor="text1" w:themeTint="26" w:sz="4" w:space="0"/>
        <w:insideH w:val="single" w:color="D8D8D8" w:themeColor="text1" w:themeTint="26" w:sz="4" w:space="0"/>
        <w:insideV w:val="single" w:color="D8D8D8" w:themeColor="text1" w:themeTint="26" w:sz="4" w:space="0"/>
      </w:tblBorders>
    </w:tblPr>
    <w:tblStylePr w:type="firstRow">
      <w:rPr>
        <w:rFonts w:ascii="Arial" w:hAnsi="Arial"/>
        <w:color w:val="404040"/>
        <w:sz w:val="22"/>
      </w:rPr>
      <w:tcPr>
        <w:tcBorders>
          <w:bottom w:val="single" w:color="7E7E7E" w:themeColor="text1" w:themeTint="80" w:sz="12" w:space="0"/>
        </w:tcBorders>
      </w:tcPr>
    </w:tblStylePr>
    <w:tblStylePr w:type="lastRow">
      <w:rPr>
        <w:rFonts w:ascii="Arial" w:hAnsi="Arial"/>
        <w:color w:val="404040"/>
        <w:sz w:val="22"/>
      </w:rPr>
      <w:tcPr>
        <w:tcBorders>
          <w:top w:val="single" w:color="7E7E7E" w:themeColor="text1" w:themeTint="80"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7E7E7E" w:themeColor="text1" w:themeTint="80" w:sz="12" w:space="0"/>
        </w:tcBorders>
      </w:tcPr>
    </w:tblStylePr>
    <w:tblStylePr w:type="band1Horz">
      <w:rPr>
        <w:rFonts w:ascii="Arial" w:hAnsi="Arial"/>
        <w:color w:val="404040"/>
        <w:sz w:val="22"/>
      </w:rPr>
      <w:tcPr>
        <w:tcBorders>
          <w:top w:val="single" w:color="D8D8D8" w:themeColor="text1" w:themeTint="26" w:sz="4" w:space="0"/>
          <w:left w:val="single" w:color="D8D8D8" w:themeColor="text1" w:themeTint="26" w:sz="4" w:space="0"/>
          <w:bottom w:val="single" w:color="D8D8D8" w:themeColor="text1" w:themeTint="26" w:sz="4" w:space="0"/>
          <w:right w:val="single" w:color="D8D8D8" w:themeColor="text1" w:themeTint="26" w:sz="4" w:space="0"/>
        </w:tcBorders>
      </w:tcPr>
    </w:tblStylePr>
  </w:style>
  <w:style w:type="table" w:customStyle="1" w:styleId="180">
    <w:name w:val="Bordered - Accent 1"/>
    <w:autoRedefine/>
    <w:qFormat/>
    <w:uiPriority w:val="99"/>
    <w:pPr>
      <w:spacing w:after="0" w:line="240" w:lineRule="auto"/>
    </w:pPr>
    <w:tblPr>
      <w:tbl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insideH w:val="single" w:color="B7CCE4" w:themeColor="accent1" w:themeTint="67" w:sz="4" w:space="0"/>
        <w:insideV w:val="single" w:color="B7CCE4" w:themeColor="accent1" w:themeTint="67" w:sz="4" w:space="0"/>
      </w:tblBorders>
    </w:tblPr>
    <w:tblStylePr w:type="firstRow">
      <w:rPr>
        <w:rFonts w:ascii="Arial" w:hAnsi="Arial"/>
        <w:color w:val="404040"/>
        <w:sz w:val="22"/>
      </w:rPr>
      <w:tcPr>
        <w:tcBorders>
          <w:bottom w:val="single" w:color="4F81BD" w:themeColor="accent1" w:sz="12" w:space="0"/>
        </w:tcBorders>
      </w:tcPr>
    </w:tblStylePr>
    <w:tblStylePr w:type="lastRow">
      <w:rPr>
        <w:rFonts w:ascii="Arial" w:hAnsi="Arial"/>
        <w:color w:val="404040"/>
        <w:sz w:val="22"/>
      </w:rPr>
      <w:tcPr>
        <w:tcBorders>
          <w:top w:val="single" w:color="4F81BD" w:themeColor="accent1"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4F81BD" w:themeColor="accent1" w:sz="12" w:space="0"/>
        </w:tcBorders>
      </w:tcPr>
    </w:tblStylePr>
    <w:tblStylePr w:type="band1Horz">
      <w:rPr>
        <w:rFonts w:ascii="Arial" w:hAnsi="Arial"/>
        <w:color w:val="404040"/>
        <w:sz w:val="22"/>
      </w:rPr>
      <w:tcPr>
        <w:tc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tcBorders>
      </w:tcPr>
    </w:tblStylePr>
  </w:style>
  <w:style w:type="table" w:customStyle="1" w:styleId="181">
    <w:name w:val="Bordered - Accent 2"/>
    <w:autoRedefine/>
    <w:qFormat/>
    <w:uiPriority w:val="99"/>
    <w:pPr>
      <w:spacing w:after="0" w:line="240" w:lineRule="auto"/>
    </w:pPr>
    <w:tblPr>
      <w:tbl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insideH w:val="single" w:color="E5B8B7" w:themeColor="accent2" w:themeTint="67" w:sz="4" w:space="0"/>
        <w:insideV w:val="single" w:color="E5B8B7" w:themeColor="accent2" w:themeTint="67" w:sz="4" w:space="0"/>
      </w:tblBorders>
    </w:tblPr>
    <w:tblStylePr w:type="firstRow">
      <w:rPr>
        <w:rFonts w:ascii="Arial" w:hAnsi="Arial"/>
        <w:color w:val="404040"/>
        <w:sz w:val="22"/>
      </w:rPr>
      <w:tcPr>
        <w:tcBorders>
          <w:bottom w:val="single" w:color="D99795" w:themeColor="accent2" w:themeTint="97" w:sz="12" w:space="0"/>
        </w:tcBorders>
      </w:tcPr>
    </w:tblStylePr>
    <w:tblStylePr w:type="lastRow">
      <w:rPr>
        <w:rFonts w:ascii="Arial" w:hAnsi="Arial"/>
        <w:color w:val="404040"/>
        <w:sz w:val="22"/>
      </w:rPr>
      <w:tcPr>
        <w:tcBorders>
          <w:top w:val="single" w:color="D99795" w:themeColor="accent2" w:themeTint="97"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D99795" w:themeColor="accent2" w:themeTint="97" w:sz="12" w:space="0"/>
        </w:tcBorders>
      </w:tcPr>
    </w:tblStylePr>
    <w:tblStylePr w:type="band1Horz">
      <w:rPr>
        <w:rFonts w:ascii="Arial" w:hAnsi="Arial"/>
        <w:color w:val="404040"/>
        <w:sz w:val="22"/>
      </w:rPr>
      <w:tcPr>
        <w:tc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tcBorders>
      </w:tcPr>
    </w:tblStylePr>
  </w:style>
  <w:style w:type="table" w:customStyle="1" w:styleId="182">
    <w:name w:val="Bordered - Accent 3"/>
    <w:autoRedefine/>
    <w:qFormat/>
    <w:uiPriority w:val="99"/>
    <w:pPr>
      <w:spacing w:after="0" w:line="240" w:lineRule="auto"/>
    </w:pPr>
    <w:tblPr>
      <w:tbl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insideH w:val="single" w:color="D6E3BB" w:themeColor="accent3" w:themeTint="67" w:sz="4" w:space="0"/>
        <w:insideV w:val="single" w:color="D6E3BB" w:themeColor="accent3" w:themeTint="67" w:sz="4" w:space="0"/>
      </w:tblBorders>
    </w:tblPr>
    <w:tblStylePr w:type="firstRow">
      <w:rPr>
        <w:rFonts w:ascii="Arial" w:hAnsi="Arial"/>
        <w:color w:val="404040"/>
        <w:sz w:val="22"/>
      </w:rPr>
      <w:tcPr>
        <w:tcBorders>
          <w:bottom w:val="single" w:color="C3D69C" w:themeColor="accent3" w:themeTint="98" w:sz="12" w:space="0"/>
        </w:tcBorders>
      </w:tcPr>
    </w:tblStylePr>
    <w:tblStylePr w:type="lastRow">
      <w:rPr>
        <w:rFonts w:ascii="Arial" w:hAnsi="Arial"/>
        <w:color w:val="404040"/>
        <w:sz w:val="22"/>
      </w:rPr>
      <w:tcPr>
        <w:tcBorders>
          <w:top w:val="single" w:color="C3D69C" w:themeColor="accent3" w:themeTint="98"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C3D69C" w:themeColor="accent3" w:themeTint="98" w:sz="12" w:space="0"/>
        </w:tcBorders>
      </w:tcPr>
    </w:tblStylePr>
    <w:tblStylePr w:type="band1Horz">
      <w:rPr>
        <w:rFonts w:ascii="Arial" w:hAnsi="Arial"/>
        <w:color w:val="404040"/>
        <w:sz w:val="22"/>
      </w:rPr>
      <w:tcPr>
        <w:tc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tcBorders>
      </w:tcPr>
    </w:tblStylePr>
  </w:style>
  <w:style w:type="table" w:customStyle="1" w:styleId="183">
    <w:name w:val="Bordered - Accent 4"/>
    <w:autoRedefine/>
    <w:qFormat/>
    <w:uiPriority w:val="99"/>
    <w:pPr>
      <w:spacing w:after="0" w:line="240" w:lineRule="auto"/>
    </w:pPr>
    <w:tblPr>
      <w:tbl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insideH w:val="single" w:color="CBC0D9" w:themeColor="accent4" w:themeTint="67" w:sz="4" w:space="0"/>
        <w:insideV w:val="single" w:color="CBC0D9" w:themeColor="accent4" w:themeTint="67" w:sz="4" w:space="0"/>
      </w:tblBorders>
    </w:tblPr>
    <w:tblStylePr w:type="firstRow">
      <w:rPr>
        <w:rFonts w:ascii="Arial" w:hAnsi="Arial"/>
        <w:color w:val="404040"/>
        <w:sz w:val="22"/>
      </w:rPr>
      <w:tcPr>
        <w:tcBorders>
          <w:bottom w:val="single" w:color="B2A1C6" w:themeColor="accent4" w:themeTint="9A" w:sz="12" w:space="0"/>
        </w:tcBorders>
      </w:tcPr>
    </w:tblStylePr>
    <w:tblStylePr w:type="lastRow">
      <w:rPr>
        <w:rFonts w:ascii="Arial" w:hAnsi="Arial"/>
        <w:color w:val="404040"/>
        <w:sz w:val="22"/>
      </w:rPr>
      <w:tcPr>
        <w:tcBorders>
          <w:top w:val="single" w:color="B2A1C6" w:themeColor="accent4" w:themeTint="9A"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B2A1C6" w:themeColor="accent4" w:themeTint="9A" w:sz="12" w:space="0"/>
        </w:tcBorders>
      </w:tcPr>
    </w:tblStylePr>
    <w:tblStylePr w:type="band1Horz">
      <w:rPr>
        <w:rFonts w:ascii="Arial" w:hAnsi="Arial"/>
        <w:color w:val="404040"/>
        <w:sz w:val="22"/>
      </w:rPr>
      <w:tcPr>
        <w:tc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tcBorders>
      </w:tcPr>
    </w:tblStylePr>
  </w:style>
  <w:style w:type="table" w:customStyle="1" w:styleId="184">
    <w:name w:val="Bordered - Accent 5"/>
    <w:autoRedefine/>
    <w:qFormat/>
    <w:uiPriority w:val="99"/>
    <w:pPr>
      <w:spacing w:after="0" w:line="240" w:lineRule="auto"/>
    </w:pPr>
    <w:tblPr>
      <w:tbl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insideH w:val="single" w:color="B6DDE7" w:themeColor="accent5" w:themeTint="67" w:sz="4" w:space="0"/>
        <w:insideV w:val="single" w:color="B6DDE7" w:themeColor="accent5" w:themeTint="67" w:sz="4" w:space="0"/>
      </w:tblBorders>
    </w:tblPr>
    <w:tblStylePr w:type="firstRow">
      <w:rPr>
        <w:rFonts w:ascii="Arial" w:hAnsi="Arial"/>
        <w:color w:val="404040"/>
        <w:sz w:val="22"/>
      </w:rPr>
      <w:tcPr>
        <w:tcBorders>
          <w:bottom w:val="single" w:color="92CCDC" w:themeColor="accent5" w:themeTint="9A" w:sz="12" w:space="0"/>
        </w:tcBorders>
      </w:tcPr>
    </w:tblStylePr>
    <w:tblStylePr w:type="lastRow">
      <w:rPr>
        <w:rFonts w:ascii="Arial" w:hAnsi="Arial"/>
        <w:color w:val="404040"/>
        <w:sz w:val="22"/>
      </w:rPr>
      <w:tcPr>
        <w:tcBorders>
          <w:top w:val="single" w:color="92CCDC" w:themeColor="accent5" w:themeTint="9A"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92CCDC" w:themeColor="accent5" w:themeTint="9A" w:sz="12" w:space="0"/>
        </w:tcBorders>
      </w:tcPr>
    </w:tblStylePr>
    <w:tblStylePr w:type="band1Horz">
      <w:rPr>
        <w:rFonts w:ascii="Arial" w:hAnsi="Arial"/>
        <w:color w:val="404040"/>
        <w:sz w:val="22"/>
      </w:rPr>
      <w:tcPr>
        <w:tc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tcBorders>
      </w:tcPr>
    </w:tblStylePr>
  </w:style>
  <w:style w:type="table" w:customStyle="1" w:styleId="185">
    <w:name w:val="Bordered - Accent 6"/>
    <w:autoRedefine/>
    <w:qFormat/>
    <w:uiPriority w:val="99"/>
    <w:pPr>
      <w:spacing w:after="0" w:line="240" w:lineRule="auto"/>
    </w:pPr>
    <w:tblPr>
      <w:tbl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insideH w:val="single" w:color="FBD4B4" w:themeColor="accent6" w:themeTint="67" w:sz="4" w:space="0"/>
        <w:insideV w:val="single" w:color="FBD4B4" w:themeColor="accent6" w:themeTint="67" w:sz="4" w:space="0"/>
      </w:tblBorders>
    </w:tblPr>
    <w:tblStylePr w:type="firstRow">
      <w:rPr>
        <w:rFonts w:ascii="Arial" w:hAnsi="Arial"/>
        <w:color w:val="404040"/>
        <w:sz w:val="22"/>
      </w:rPr>
      <w:tcPr>
        <w:tcBorders>
          <w:bottom w:val="single" w:color="FAC090" w:themeColor="accent6" w:themeTint="98" w:sz="12" w:space="0"/>
        </w:tcBorders>
      </w:tcPr>
    </w:tblStylePr>
    <w:tblStylePr w:type="lastRow">
      <w:rPr>
        <w:rFonts w:ascii="Arial" w:hAnsi="Arial"/>
        <w:color w:val="404040"/>
        <w:sz w:val="22"/>
      </w:rPr>
      <w:tcPr>
        <w:tcBorders>
          <w:top w:val="single" w:color="FAC090" w:themeColor="accent6" w:themeTint="98"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FAC090" w:themeColor="accent6" w:themeTint="98" w:sz="12" w:space="0"/>
        </w:tcBorders>
      </w:tcPr>
    </w:tblStylePr>
    <w:tblStylePr w:type="band1Horz">
      <w:rPr>
        <w:rFonts w:ascii="Arial" w:hAnsi="Arial"/>
        <w:color w:val="404040"/>
        <w:sz w:val="22"/>
      </w:rPr>
      <w:tcPr>
        <w:tc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tcBorders>
      </w:tcPr>
    </w:tblStylePr>
  </w:style>
  <w:style w:type="character" w:customStyle="1" w:styleId="186">
    <w:name w:val="Footnote Text Char"/>
    <w:link w:val="26"/>
    <w:autoRedefine/>
    <w:qFormat/>
    <w:uiPriority w:val="99"/>
    <w:rPr>
      <w:sz w:val="18"/>
    </w:rPr>
  </w:style>
  <w:style w:type="character" w:customStyle="1" w:styleId="187">
    <w:name w:val="Endnote Text Char"/>
    <w:link w:val="20"/>
    <w:autoRedefine/>
    <w:qFormat/>
    <w:uiPriority w:val="99"/>
    <w:rPr>
      <w:sz w:val="20"/>
    </w:rPr>
  </w:style>
  <w:style w:type="paragraph" w:customStyle="1" w:styleId="188">
    <w:name w:val="TOC Heading"/>
    <w:autoRedefine/>
    <w:unhideWhenUsed/>
    <w:qFormat/>
    <w:uiPriority w:val="39"/>
    <w:rPr>
      <w:rFonts w:hint="default" w:ascii="Times New Roman" w:hAnsi="Times New Roman" w:eastAsia="宋体" w:cs="Times New Roman"/>
    </w:rPr>
  </w:style>
  <w:style w:type="paragraph" w:customStyle="1" w:styleId="189">
    <w:name w:val="标题 11"/>
    <w:basedOn w:val="1"/>
    <w:next w:val="1"/>
    <w:link w:val="196"/>
    <w:autoRedefine/>
    <w:qFormat/>
    <w:uiPriority w:val="0"/>
    <w:pPr>
      <w:keepNext/>
      <w:keepLines/>
      <w:spacing w:before="340" w:after="330" w:line="578" w:lineRule="auto"/>
      <w:outlineLvl w:val="0"/>
    </w:pPr>
    <w:rPr>
      <w:b/>
      <w:bCs/>
      <w:sz w:val="44"/>
      <w:szCs w:val="44"/>
      <w:lang w:val="en-US" w:eastAsia="en-US"/>
    </w:rPr>
  </w:style>
  <w:style w:type="paragraph" w:customStyle="1" w:styleId="190">
    <w:name w:val="标题 21"/>
    <w:basedOn w:val="1"/>
    <w:next w:val="1"/>
    <w:link w:val="197"/>
    <w:qFormat/>
    <w:uiPriority w:val="0"/>
    <w:pPr>
      <w:keepNext/>
      <w:keepLines/>
      <w:spacing w:before="260" w:after="260" w:line="416" w:lineRule="auto"/>
      <w:outlineLvl w:val="1"/>
    </w:pPr>
    <w:rPr>
      <w:rFonts w:ascii="Arial" w:hAnsi="Arial" w:eastAsia="黑体"/>
      <w:b/>
      <w:bCs/>
      <w:sz w:val="32"/>
      <w:szCs w:val="32"/>
      <w:lang w:val="en-US" w:eastAsia="en-US"/>
    </w:rPr>
  </w:style>
  <w:style w:type="paragraph" w:customStyle="1" w:styleId="191">
    <w:name w:val="标题 31"/>
    <w:basedOn w:val="1"/>
    <w:next w:val="1"/>
    <w:link w:val="198"/>
    <w:autoRedefine/>
    <w:qFormat/>
    <w:uiPriority w:val="0"/>
    <w:pPr>
      <w:keepNext/>
      <w:keepLines/>
      <w:spacing w:before="260" w:after="260" w:line="416" w:lineRule="auto"/>
      <w:outlineLvl w:val="2"/>
    </w:pPr>
    <w:rPr>
      <w:b/>
      <w:bCs/>
      <w:sz w:val="32"/>
      <w:szCs w:val="32"/>
      <w:lang w:val="en-US" w:eastAsia="en-US"/>
    </w:rPr>
  </w:style>
  <w:style w:type="paragraph" w:customStyle="1" w:styleId="192">
    <w:name w:val="标题 41"/>
    <w:basedOn w:val="1"/>
    <w:next w:val="1"/>
    <w:link w:val="199"/>
    <w:autoRedefine/>
    <w:qFormat/>
    <w:uiPriority w:val="0"/>
    <w:pPr>
      <w:keepNext/>
      <w:jc w:val="center"/>
      <w:outlineLvl w:val="3"/>
    </w:pPr>
    <w:rPr>
      <w:rFonts w:eastAsia="新宋体"/>
      <w:sz w:val="30"/>
      <w:szCs w:val="21"/>
      <w:lang w:val="en-US" w:eastAsia="en-US"/>
    </w:rPr>
  </w:style>
  <w:style w:type="character" w:customStyle="1" w:styleId="193">
    <w:name w:val="默认段落字体1"/>
    <w:link w:val="1"/>
    <w:autoRedefine/>
    <w:unhideWhenUsed/>
    <w:qFormat/>
    <w:uiPriority w:val="1"/>
  </w:style>
  <w:style w:type="table" w:customStyle="1" w:styleId="194">
    <w:name w:val="普通表格1"/>
    <w:autoRedefine/>
    <w:unhideWhenUsed/>
    <w:qFormat/>
    <w:uiPriority w:val="99"/>
  </w:style>
  <w:style w:type="paragraph" w:customStyle="1" w:styleId="195">
    <w:name w:val="文本块1"/>
    <w:basedOn w:val="1"/>
    <w:autoRedefine/>
    <w:unhideWhenUsed/>
    <w:qFormat/>
    <w:uiPriority w:val="99"/>
    <w:pPr>
      <w:spacing w:after="120"/>
      <w:ind w:left="1440" w:right="1440"/>
    </w:pPr>
  </w:style>
  <w:style w:type="character" w:customStyle="1" w:styleId="196">
    <w:name w:val="标题 1 Char"/>
    <w:link w:val="189"/>
    <w:autoRedefine/>
    <w:qFormat/>
    <w:uiPriority w:val="0"/>
    <w:rPr>
      <w:b/>
      <w:bCs/>
      <w:sz w:val="44"/>
      <w:szCs w:val="44"/>
    </w:rPr>
  </w:style>
  <w:style w:type="character" w:customStyle="1" w:styleId="197">
    <w:name w:val="标题 2 Char"/>
    <w:link w:val="190"/>
    <w:autoRedefine/>
    <w:qFormat/>
    <w:uiPriority w:val="0"/>
    <w:rPr>
      <w:rFonts w:ascii="Arial" w:hAnsi="Arial" w:eastAsia="黑体"/>
      <w:b/>
      <w:bCs/>
      <w:sz w:val="32"/>
      <w:szCs w:val="32"/>
    </w:rPr>
  </w:style>
  <w:style w:type="character" w:customStyle="1" w:styleId="198">
    <w:name w:val="标题 3 Char"/>
    <w:link w:val="191"/>
    <w:autoRedefine/>
    <w:qFormat/>
    <w:uiPriority w:val="0"/>
    <w:rPr>
      <w:b/>
      <w:bCs/>
      <w:sz w:val="32"/>
      <w:szCs w:val="32"/>
    </w:rPr>
  </w:style>
  <w:style w:type="character" w:customStyle="1" w:styleId="199">
    <w:name w:val="标题 4 Char"/>
    <w:link w:val="192"/>
    <w:autoRedefine/>
    <w:qFormat/>
    <w:uiPriority w:val="0"/>
    <w:rPr>
      <w:rFonts w:eastAsia="新宋体"/>
      <w:sz w:val="30"/>
      <w:szCs w:val="21"/>
    </w:rPr>
  </w:style>
  <w:style w:type="paragraph" w:customStyle="1" w:styleId="200">
    <w:name w:val="正文缩进1"/>
    <w:basedOn w:val="1"/>
    <w:link w:val="201"/>
    <w:autoRedefine/>
    <w:qFormat/>
    <w:uiPriority w:val="0"/>
    <w:pPr>
      <w:ind w:firstLine="420"/>
    </w:pPr>
    <w:rPr>
      <w:szCs w:val="20"/>
      <w:lang w:val="en-US" w:eastAsia="en-US"/>
    </w:rPr>
  </w:style>
  <w:style w:type="character" w:customStyle="1" w:styleId="201">
    <w:name w:val="正文缩进 Char"/>
    <w:link w:val="200"/>
    <w:autoRedefine/>
    <w:qFormat/>
    <w:uiPriority w:val="0"/>
    <w:rPr>
      <w:sz w:val="21"/>
    </w:rPr>
  </w:style>
  <w:style w:type="paragraph" w:customStyle="1" w:styleId="202">
    <w:name w:val="文档结构图1"/>
    <w:basedOn w:val="1"/>
    <w:link w:val="203"/>
    <w:autoRedefine/>
    <w:semiHidden/>
    <w:qFormat/>
    <w:uiPriority w:val="0"/>
    <w:pPr>
      <w:shd w:val="clear" w:color="auto" w:fill="000080"/>
    </w:pPr>
    <w:rPr>
      <w:lang w:val="en-US" w:eastAsia="en-US"/>
    </w:rPr>
  </w:style>
  <w:style w:type="character" w:customStyle="1" w:styleId="203">
    <w:name w:val="文档结构图 Char"/>
    <w:link w:val="202"/>
    <w:autoRedefine/>
    <w:semiHidden/>
    <w:qFormat/>
    <w:uiPriority w:val="0"/>
    <w:rPr>
      <w:sz w:val="21"/>
      <w:szCs w:val="24"/>
      <w:shd w:val="clear" w:color="auto" w:fill="000080"/>
    </w:rPr>
  </w:style>
  <w:style w:type="paragraph" w:customStyle="1" w:styleId="204">
    <w:name w:val="批注文字1"/>
    <w:basedOn w:val="1"/>
    <w:autoRedefine/>
    <w:unhideWhenUsed/>
    <w:qFormat/>
    <w:uiPriority w:val="99"/>
    <w:pPr>
      <w:jc w:val="left"/>
    </w:pPr>
  </w:style>
  <w:style w:type="paragraph" w:customStyle="1" w:styleId="205">
    <w:name w:val="正文文本1"/>
    <w:basedOn w:val="1"/>
    <w:next w:val="1"/>
    <w:autoRedefine/>
    <w:qFormat/>
    <w:uiPriority w:val="0"/>
    <w:pPr>
      <w:spacing w:after="120"/>
    </w:pPr>
    <w:rPr>
      <w:rFonts w:ascii="Times New Roman" w:hAnsi="Times New Roman"/>
      <w:szCs w:val="20"/>
    </w:rPr>
  </w:style>
  <w:style w:type="paragraph" w:customStyle="1" w:styleId="206">
    <w:name w:val="正文文本缩进1"/>
    <w:basedOn w:val="1"/>
    <w:link w:val="207"/>
    <w:autoRedefine/>
    <w:qFormat/>
    <w:uiPriority w:val="0"/>
    <w:pPr>
      <w:spacing w:after="120"/>
      <w:ind w:left="420"/>
    </w:pPr>
    <w:rPr>
      <w:lang w:val="en-US" w:eastAsia="en-US"/>
    </w:rPr>
  </w:style>
  <w:style w:type="character" w:customStyle="1" w:styleId="207">
    <w:name w:val="正文文本缩进 Char"/>
    <w:link w:val="206"/>
    <w:autoRedefine/>
    <w:qFormat/>
    <w:uiPriority w:val="0"/>
    <w:rPr>
      <w:sz w:val="21"/>
      <w:szCs w:val="24"/>
    </w:rPr>
  </w:style>
  <w:style w:type="paragraph" w:customStyle="1" w:styleId="208">
    <w:name w:val="日期1"/>
    <w:basedOn w:val="1"/>
    <w:next w:val="1"/>
    <w:link w:val="209"/>
    <w:autoRedefine/>
    <w:qFormat/>
    <w:uiPriority w:val="0"/>
    <w:pPr>
      <w:ind w:left="100"/>
    </w:pPr>
    <w:rPr>
      <w:lang w:val="en-US" w:eastAsia="en-US"/>
    </w:rPr>
  </w:style>
  <w:style w:type="character" w:customStyle="1" w:styleId="209">
    <w:name w:val="日期 Char"/>
    <w:link w:val="208"/>
    <w:autoRedefine/>
    <w:qFormat/>
    <w:uiPriority w:val="0"/>
    <w:rPr>
      <w:sz w:val="21"/>
      <w:szCs w:val="24"/>
    </w:rPr>
  </w:style>
  <w:style w:type="paragraph" w:customStyle="1" w:styleId="210">
    <w:name w:val="批注框文本1"/>
    <w:basedOn w:val="1"/>
    <w:link w:val="211"/>
    <w:autoRedefine/>
    <w:semiHidden/>
    <w:qFormat/>
    <w:uiPriority w:val="0"/>
    <w:rPr>
      <w:sz w:val="18"/>
      <w:szCs w:val="18"/>
      <w:lang w:val="en-US" w:eastAsia="en-US"/>
    </w:rPr>
  </w:style>
  <w:style w:type="character" w:customStyle="1" w:styleId="211">
    <w:name w:val="批注框文本 Char"/>
    <w:link w:val="210"/>
    <w:semiHidden/>
    <w:qFormat/>
    <w:uiPriority w:val="0"/>
    <w:rPr>
      <w:sz w:val="18"/>
      <w:szCs w:val="18"/>
    </w:rPr>
  </w:style>
  <w:style w:type="paragraph" w:customStyle="1" w:styleId="212">
    <w:name w:val="页脚1"/>
    <w:basedOn w:val="1"/>
    <w:link w:val="213"/>
    <w:autoRedefine/>
    <w:qFormat/>
    <w:uiPriority w:val="99"/>
    <w:pPr>
      <w:tabs>
        <w:tab w:val="center" w:pos="4153"/>
        <w:tab w:val="right" w:pos="8306"/>
      </w:tabs>
      <w:jc w:val="left"/>
    </w:pPr>
    <w:rPr>
      <w:sz w:val="18"/>
      <w:szCs w:val="18"/>
      <w:lang w:val="en-US" w:eastAsia="en-US"/>
    </w:rPr>
  </w:style>
  <w:style w:type="character" w:customStyle="1" w:styleId="213">
    <w:name w:val="页脚 Char"/>
    <w:link w:val="212"/>
    <w:qFormat/>
    <w:uiPriority w:val="99"/>
    <w:rPr>
      <w:sz w:val="18"/>
      <w:szCs w:val="18"/>
    </w:rPr>
  </w:style>
  <w:style w:type="paragraph" w:customStyle="1" w:styleId="214">
    <w:name w:val="页眉1"/>
    <w:basedOn w:val="1"/>
    <w:link w:val="215"/>
    <w:autoRedefine/>
    <w:qFormat/>
    <w:uiPriority w:val="0"/>
    <w:pPr>
      <w:pBdr>
        <w:bottom w:val="single" w:color="000000" w:sz="6" w:space="1"/>
      </w:pBdr>
      <w:tabs>
        <w:tab w:val="center" w:pos="4153"/>
        <w:tab w:val="right" w:pos="8306"/>
      </w:tabs>
      <w:jc w:val="center"/>
    </w:pPr>
    <w:rPr>
      <w:sz w:val="18"/>
      <w:szCs w:val="18"/>
      <w:lang w:val="en-US" w:eastAsia="en-US"/>
    </w:rPr>
  </w:style>
  <w:style w:type="character" w:customStyle="1" w:styleId="215">
    <w:name w:val="页眉 Char"/>
    <w:link w:val="214"/>
    <w:qFormat/>
    <w:uiPriority w:val="0"/>
    <w:rPr>
      <w:sz w:val="18"/>
      <w:szCs w:val="18"/>
    </w:rPr>
  </w:style>
  <w:style w:type="paragraph" w:customStyle="1" w:styleId="216">
    <w:name w:val="目录 11"/>
    <w:basedOn w:val="1"/>
    <w:next w:val="1"/>
    <w:semiHidden/>
    <w:qFormat/>
    <w:uiPriority w:val="0"/>
    <w:pPr>
      <w:spacing w:before="120" w:after="120"/>
      <w:jc w:val="left"/>
    </w:pPr>
    <w:rPr>
      <w:rFonts w:ascii="Times New Roman" w:hAnsi="Times New Roman" w:cs="Times New Roman"/>
      <w:b/>
      <w:bCs/>
      <w:caps/>
      <w:szCs w:val="24"/>
    </w:rPr>
  </w:style>
  <w:style w:type="paragraph" w:customStyle="1" w:styleId="217">
    <w:name w:val="正文文本缩进 31"/>
    <w:basedOn w:val="1"/>
    <w:link w:val="218"/>
    <w:autoRedefine/>
    <w:qFormat/>
    <w:uiPriority w:val="0"/>
    <w:pPr>
      <w:spacing w:line="520" w:lineRule="exact"/>
      <w:ind w:firstLine="539"/>
    </w:pPr>
    <w:rPr>
      <w:rFonts w:ascii="宋体"/>
      <w:b/>
      <w:spacing w:val="6"/>
      <w:sz w:val="28"/>
      <w:lang w:val="en-US" w:eastAsia="en-US"/>
    </w:rPr>
  </w:style>
  <w:style w:type="character" w:customStyle="1" w:styleId="218">
    <w:name w:val="正文文本缩进 3 Char"/>
    <w:link w:val="217"/>
    <w:qFormat/>
    <w:uiPriority w:val="0"/>
    <w:rPr>
      <w:rFonts w:ascii="宋体"/>
      <w:b/>
      <w:spacing w:val="6"/>
      <w:sz w:val="28"/>
      <w:szCs w:val="24"/>
    </w:rPr>
  </w:style>
  <w:style w:type="paragraph" w:customStyle="1" w:styleId="219">
    <w:name w:val="普通(网站)1"/>
    <w:basedOn w:val="1"/>
    <w:unhideWhenUsed/>
    <w:qFormat/>
    <w:uiPriority w:val="0"/>
    <w:pPr>
      <w:widowControl/>
      <w:spacing w:before="100" w:beforeAutospacing="1" w:after="100" w:afterAutospacing="1"/>
      <w:jc w:val="left"/>
    </w:pPr>
    <w:rPr>
      <w:rFonts w:ascii="宋体" w:hAnsi="宋体" w:cs="宋体"/>
      <w:sz w:val="24"/>
    </w:rPr>
  </w:style>
  <w:style w:type="paragraph" w:customStyle="1" w:styleId="220">
    <w:name w:val="正文首行缩进1"/>
    <w:basedOn w:val="205"/>
    <w:qFormat/>
    <w:uiPriority w:val="0"/>
    <w:pPr>
      <w:spacing w:after="120" w:line="240" w:lineRule="auto"/>
      <w:ind w:firstLine="100"/>
    </w:pPr>
    <w:rPr>
      <w:rFonts w:eastAsia="宋体"/>
      <w:sz w:val="21"/>
    </w:rPr>
  </w:style>
  <w:style w:type="table" w:customStyle="1" w:styleId="221">
    <w:name w:val="网格型1"/>
    <w:basedOn w:val="194"/>
    <w:qFormat/>
    <w:uiPriority w:val="0"/>
    <w:pPr>
      <w:widowControl w:val="0"/>
      <w:jc w:val="both"/>
    </w:pPr>
  </w:style>
  <w:style w:type="character" w:customStyle="1" w:styleId="222">
    <w:name w:val="要点1"/>
    <w:link w:val="1"/>
    <w:qFormat/>
    <w:uiPriority w:val="22"/>
    <w:rPr>
      <w:b/>
      <w:bCs/>
    </w:rPr>
  </w:style>
  <w:style w:type="character" w:customStyle="1" w:styleId="223">
    <w:name w:val="页码1"/>
    <w:link w:val="1"/>
    <w:qFormat/>
    <w:uiPriority w:val="0"/>
  </w:style>
  <w:style w:type="character" w:customStyle="1" w:styleId="224">
    <w:name w:val="已访问的超链接1"/>
    <w:link w:val="1"/>
    <w:unhideWhenUsed/>
    <w:qFormat/>
    <w:uiPriority w:val="99"/>
    <w:rPr>
      <w:color w:val="800080"/>
      <w:u w:val="none"/>
    </w:rPr>
  </w:style>
  <w:style w:type="character" w:customStyle="1" w:styleId="225">
    <w:name w:val="强调1"/>
    <w:link w:val="1"/>
    <w:qFormat/>
    <w:uiPriority w:val="0"/>
    <w:rPr>
      <w:b/>
      <w:bCs/>
    </w:rPr>
  </w:style>
  <w:style w:type="character" w:customStyle="1" w:styleId="226">
    <w:name w:val="HTML 定义1"/>
    <w:link w:val="1"/>
    <w:unhideWhenUsed/>
    <w:qFormat/>
    <w:uiPriority w:val="99"/>
  </w:style>
  <w:style w:type="character" w:customStyle="1" w:styleId="227">
    <w:name w:val="HTML 打字机1"/>
    <w:link w:val="1"/>
    <w:unhideWhenUsed/>
    <w:qFormat/>
    <w:uiPriority w:val="0"/>
    <w:rPr>
      <w:rFonts w:ascii="monospace" w:hAnsi="monospace" w:eastAsia="monospace" w:cs="monospace"/>
      <w:sz w:val="20"/>
    </w:rPr>
  </w:style>
  <w:style w:type="character" w:customStyle="1" w:styleId="228">
    <w:name w:val="HTML 缩写1"/>
    <w:link w:val="1"/>
    <w:unhideWhenUsed/>
    <w:qFormat/>
    <w:uiPriority w:val="99"/>
  </w:style>
  <w:style w:type="character" w:customStyle="1" w:styleId="229">
    <w:name w:val="HTML 变量1"/>
    <w:link w:val="1"/>
    <w:unhideWhenUsed/>
    <w:qFormat/>
    <w:uiPriority w:val="99"/>
  </w:style>
  <w:style w:type="character" w:customStyle="1" w:styleId="230">
    <w:name w:val="超链接1"/>
    <w:link w:val="1"/>
    <w:unhideWhenUsed/>
    <w:qFormat/>
    <w:uiPriority w:val="99"/>
    <w:rPr>
      <w:color w:val="0000FF"/>
      <w:u w:val="none"/>
    </w:rPr>
  </w:style>
  <w:style w:type="character" w:customStyle="1" w:styleId="231">
    <w:name w:val="HTML 代码1"/>
    <w:link w:val="1"/>
    <w:unhideWhenUsed/>
    <w:qFormat/>
    <w:uiPriority w:val="99"/>
    <w:rPr>
      <w:rFonts w:ascii="monospace" w:hAnsi="monospace" w:eastAsia="monospace" w:cs="monospace"/>
      <w:sz w:val="20"/>
    </w:rPr>
  </w:style>
  <w:style w:type="character" w:customStyle="1" w:styleId="232">
    <w:name w:val="HTML 引文1"/>
    <w:link w:val="1"/>
    <w:unhideWhenUsed/>
    <w:qFormat/>
    <w:uiPriority w:val="99"/>
  </w:style>
  <w:style w:type="character" w:customStyle="1" w:styleId="233">
    <w:name w:val="HTML 键盘1"/>
    <w:link w:val="1"/>
    <w:unhideWhenUsed/>
    <w:qFormat/>
    <w:uiPriority w:val="99"/>
    <w:rPr>
      <w:rFonts w:ascii="monospace" w:hAnsi="monospace" w:eastAsia="monospace" w:cs="monospace"/>
      <w:sz w:val="20"/>
    </w:rPr>
  </w:style>
  <w:style w:type="character" w:customStyle="1" w:styleId="234">
    <w:name w:val="HTML 样本1"/>
    <w:link w:val="1"/>
    <w:unhideWhenUsed/>
    <w:qFormat/>
    <w:uiPriority w:val="99"/>
    <w:rPr>
      <w:rFonts w:ascii="monospace" w:hAnsi="monospace" w:eastAsia="monospace" w:cs="monospace"/>
    </w:rPr>
  </w:style>
  <w:style w:type="character" w:customStyle="1" w:styleId="235">
    <w:name w:val="正文缩进2格 Char"/>
    <w:link w:val="236"/>
    <w:qFormat/>
    <w:uiPriority w:val="0"/>
    <w:rPr>
      <w:rFonts w:ascii="仿宋_GB2312" w:hAnsi="宋体" w:eastAsia="仿宋_GB2312"/>
      <w:sz w:val="31"/>
      <w:szCs w:val="28"/>
    </w:rPr>
  </w:style>
  <w:style w:type="paragraph" w:customStyle="1" w:styleId="236">
    <w:name w:val="正文缩进2格"/>
    <w:basedOn w:val="1"/>
    <w:link w:val="235"/>
    <w:qFormat/>
    <w:uiPriority w:val="0"/>
    <w:pPr>
      <w:spacing w:line="600" w:lineRule="exact"/>
      <w:ind w:firstLine="639"/>
    </w:pPr>
    <w:rPr>
      <w:rFonts w:ascii="仿宋_GB2312" w:hAnsi="宋体" w:eastAsia="仿宋_GB2312"/>
      <w:sz w:val="31"/>
      <w:szCs w:val="28"/>
      <w:lang w:val="en-US" w:eastAsia="en-US"/>
    </w:rPr>
  </w:style>
  <w:style w:type="character" w:customStyle="1" w:styleId="237">
    <w:name w:val="标题 3.1 Char"/>
    <w:link w:val="238"/>
    <w:qFormat/>
    <w:uiPriority w:val="0"/>
    <w:rPr>
      <w:rFonts w:ascii="宋体" w:hAnsi="宋体"/>
      <w:b/>
      <w:bCs/>
      <w:color w:val="000000"/>
      <w:sz w:val="32"/>
      <w:szCs w:val="32"/>
    </w:rPr>
  </w:style>
  <w:style w:type="paragraph" w:customStyle="1" w:styleId="238">
    <w:name w:val="标题 3.1"/>
    <w:basedOn w:val="191"/>
    <w:link w:val="237"/>
    <w:qFormat/>
    <w:uiPriority w:val="0"/>
    <w:pPr>
      <w:tabs>
        <w:tab w:val="left" w:pos="1440"/>
        <w:tab w:val="left" w:pos="1620"/>
      </w:tabs>
      <w:spacing w:line="600" w:lineRule="exact"/>
    </w:pPr>
    <w:rPr>
      <w:rFonts w:ascii="宋体" w:hAnsi="宋体"/>
      <w:color w:val="000000"/>
    </w:rPr>
  </w:style>
  <w:style w:type="paragraph" w:customStyle="1" w:styleId="239">
    <w:name w:val=" Char"/>
    <w:basedOn w:val="1"/>
    <w:qFormat/>
    <w:uiPriority w:val="0"/>
    <w:rPr>
      <w:rFonts w:ascii="Tahoma" w:hAnsi="Tahoma"/>
      <w:sz w:val="24"/>
      <w:szCs w:val="20"/>
    </w:rPr>
  </w:style>
  <w:style w:type="paragraph" w:customStyle="1" w:styleId="240">
    <w:name w:val="正文缩进4格"/>
    <w:basedOn w:val="236"/>
    <w:qFormat/>
    <w:uiPriority w:val="0"/>
    <w:pPr>
      <w:ind w:left="2" w:firstLine="538"/>
    </w:pPr>
    <w:rPr>
      <w:color w:val="000000"/>
      <w:sz w:val="28"/>
    </w:rPr>
  </w:style>
  <w:style w:type="paragraph" w:customStyle="1" w:styleId="241">
    <w:name w:val=" Char Char Char Char"/>
    <w:basedOn w:val="1"/>
    <w:qFormat/>
    <w:uiPriority w:val="0"/>
    <w:rPr>
      <w:rFonts w:ascii="Tahoma" w:hAnsi="Tahoma"/>
      <w:sz w:val="24"/>
      <w:szCs w:val="20"/>
    </w:rPr>
  </w:style>
  <w:style w:type="paragraph" w:customStyle="1" w:styleId="242">
    <w:name w:val="Char1"/>
    <w:basedOn w:val="1"/>
    <w:qFormat/>
    <w:uiPriority w:val="0"/>
    <w:pPr>
      <w:tabs>
        <w:tab w:val="left" w:pos="840"/>
      </w:tabs>
      <w:ind w:left="840" w:hanging="420"/>
    </w:pPr>
    <w:rPr>
      <w:sz w:val="24"/>
    </w:rPr>
  </w:style>
  <w:style w:type="paragraph" w:customStyle="1" w:styleId="243">
    <w:name w:val=" Char Char1 Char Char Char Char Char Char"/>
    <w:basedOn w:val="1"/>
    <w:qFormat/>
    <w:uiPriority w:val="0"/>
    <w:pPr>
      <w:widowControl/>
      <w:spacing w:after="160" w:line="240" w:lineRule="exact"/>
      <w:jc w:val="left"/>
    </w:pPr>
    <w:rPr>
      <w:rFonts w:ascii="Verdana" w:hAnsi="Verdana" w:eastAsia="仿宋_GB2312"/>
      <w:sz w:val="24"/>
      <w:szCs w:val="20"/>
      <w:lang w:eastAsia="en-US"/>
    </w:rPr>
  </w:style>
  <w:style w:type="paragraph" w:customStyle="1" w:styleId="244">
    <w:name w:val="msonormalcxspmiddle"/>
    <w:basedOn w:val="1"/>
    <w:qFormat/>
    <w:uiPriority w:val="0"/>
    <w:pPr>
      <w:widowControl/>
      <w:spacing w:before="100" w:beforeAutospacing="1" w:after="100" w:afterAutospacing="1"/>
      <w:jc w:val="left"/>
    </w:pPr>
    <w:rPr>
      <w:rFonts w:ascii="宋体" w:hAnsi="宋体" w:cs="宋体"/>
      <w:sz w:val="24"/>
    </w:rPr>
  </w:style>
  <w:style w:type="paragraph" w:customStyle="1" w:styleId="245">
    <w:name w:val=" Char Char 字元 字元 字元 Char Char Char Char"/>
    <w:basedOn w:val="1"/>
    <w:qFormat/>
    <w:uiPriority w:val="0"/>
    <w:pPr>
      <w:spacing w:line="360" w:lineRule="auto"/>
    </w:pPr>
    <w:rPr>
      <w:sz w:val="24"/>
      <w:szCs w:val="20"/>
    </w:rPr>
  </w:style>
  <w:style w:type="paragraph" w:customStyle="1" w:styleId="246">
    <w:name w:val="para"/>
    <w:basedOn w:val="1"/>
    <w:qFormat/>
    <w:uiPriority w:val="0"/>
    <w:pPr>
      <w:widowControl/>
      <w:spacing w:before="100" w:beforeAutospacing="1" w:after="100" w:afterAutospacing="1"/>
      <w:jc w:val="left"/>
    </w:pPr>
    <w:rPr>
      <w:rFonts w:ascii="Arial" w:hAnsi="Arial" w:cs="Arial"/>
      <w:sz w:val="18"/>
      <w:szCs w:val="18"/>
    </w:rPr>
  </w:style>
  <w:style w:type="paragraph" w:customStyle="1" w:styleId="247">
    <w:name w:val="Char"/>
    <w:basedOn w:val="1"/>
    <w:qFormat/>
    <w:uiPriority w:val="0"/>
    <w:rPr>
      <w:rFonts w:ascii="Tahoma" w:hAnsi="Tahoma"/>
      <w:sz w:val="24"/>
      <w:szCs w:val="20"/>
    </w:rPr>
  </w:style>
  <w:style w:type="paragraph" w:customStyle="1" w:styleId="248">
    <w:name w:val="msonormalcxsplast"/>
    <w:basedOn w:val="1"/>
    <w:qFormat/>
    <w:uiPriority w:val="0"/>
    <w:pPr>
      <w:widowControl/>
      <w:spacing w:before="100" w:beforeAutospacing="1" w:after="100" w:afterAutospacing="1"/>
      <w:jc w:val="left"/>
    </w:pPr>
    <w:rPr>
      <w:rFonts w:ascii="宋体" w:hAnsi="宋体" w:cs="宋体"/>
      <w:sz w:val="24"/>
    </w:rPr>
  </w:style>
  <w:style w:type="character" w:customStyle="1" w:styleId="249">
    <w:name w:val="普通正文 Char"/>
    <w:link w:val="250"/>
    <w:qFormat/>
    <w:uiPriority w:val="0"/>
    <w:rPr>
      <w:rFonts w:ascii="Arial" w:hAnsi="Arial"/>
      <w:sz w:val="24"/>
      <w:szCs w:val="24"/>
    </w:rPr>
  </w:style>
  <w:style w:type="paragraph" w:customStyle="1" w:styleId="250">
    <w:name w:val="普通正文"/>
    <w:basedOn w:val="1"/>
    <w:link w:val="249"/>
    <w:qFormat/>
    <w:uiPriority w:val="0"/>
    <w:pPr>
      <w:spacing w:before="120" w:after="120" w:line="360" w:lineRule="auto"/>
      <w:ind w:left="-2" w:right="120" w:firstLine="480"/>
      <w:jc w:val="center"/>
    </w:pPr>
    <w:rPr>
      <w:rFonts w:ascii="Arial" w:hAnsi="Arial"/>
      <w:sz w:val="24"/>
      <w:lang w:val="en-US" w:eastAsia="en-US"/>
    </w:rPr>
  </w:style>
  <w:style w:type="character" w:customStyle="1" w:styleId="251">
    <w:name w:val="mini-outputtext1"/>
    <w:link w:val="1"/>
    <w:qFormat/>
    <w:uiPriority w:val="0"/>
  </w:style>
  <w:style w:type="character" w:customStyle="1" w:styleId="252">
    <w:name w:val="font31"/>
    <w:link w:val="1"/>
    <w:qFormat/>
    <w:uiPriority w:val="0"/>
    <w:rPr>
      <w:rFonts w:hint="eastAsia" w:ascii="宋体" w:hAnsi="宋体" w:eastAsia="宋体" w:cs="宋体"/>
      <w:color w:val="000000"/>
      <w:sz w:val="21"/>
      <w:szCs w:val="21"/>
      <w:u w:val="none"/>
    </w:rPr>
  </w:style>
  <w:style w:type="character" w:customStyle="1" w:styleId="253">
    <w:name w:val="font61"/>
    <w:link w:val="1"/>
    <w:qFormat/>
    <w:uiPriority w:val="0"/>
    <w:rPr>
      <w:rFonts w:ascii="Times New Roman" w:hAnsi="Times New Roman" w:cs="Times New Roman"/>
      <w:color w:val="000000"/>
      <w:sz w:val="21"/>
      <w:szCs w:val="21"/>
      <w:u w:val="none"/>
    </w:rPr>
  </w:style>
  <w:style w:type="character" w:customStyle="1" w:styleId="254">
    <w:name w:val="font01"/>
    <w:link w:val="1"/>
    <w:qFormat/>
    <w:uiPriority w:val="0"/>
    <w:rPr>
      <w:rFonts w:ascii="等线" w:hAnsi="等线" w:eastAsia="等线" w:cs="等线"/>
      <w:color w:val="000000"/>
      <w:sz w:val="22"/>
      <w:szCs w:val="22"/>
      <w:u w:val="none"/>
    </w:rPr>
  </w:style>
  <w:style w:type="character" w:customStyle="1" w:styleId="255">
    <w:name w:val="font51"/>
    <w:link w:val="1"/>
    <w:qFormat/>
    <w:uiPriority w:val="0"/>
    <w:rPr>
      <w:rFonts w:ascii="等线" w:hAnsi="等线" w:eastAsia="等线" w:cs="等线"/>
      <w:b/>
      <w:bCs/>
      <w:color w:val="000000"/>
      <w:sz w:val="22"/>
      <w:szCs w:val="22"/>
      <w:u w:val="none"/>
    </w:rPr>
  </w:style>
  <w:style w:type="paragraph" w:customStyle="1" w:styleId="256">
    <w:name w:val="普通(网站) Char"/>
    <w:basedOn w:val="1"/>
    <w:qFormat/>
    <w:uiPriority w:val="0"/>
    <w:pPr>
      <w:keepNext w:val="0"/>
      <w:keepLines w:val="0"/>
      <w:widowControl/>
      <w:suppressLineNumbers w:val="0"/>
      <w:spacing w:before="100" w:beforeAutospacing="1" w:after="100" w:afterAutospacing="1"/>
      <w:ind w:left="0" w:right="0"/>
      <w:jc w:val="left"/>
    </w:pPr>
    <w:rPr>
      <w:rFonts w:hint="eastAsia" w:ascii="宋体" w:hAnsi="宋体" w:eastAsia="宋体" w:cs="宋体"/>
      <w:sz w:val="24"/>
      <w:szCs w:val="24"/>
      <w:lang w:val="en-US" w:eastAsia="zh-CN" w:bidi="ar"/>
    </w:rPr>
  </w:style>
  <w:style w:type="character" w:customStyle="1" w:styleId="257">
    <w:name w:val="页脚 字符"/>
    <w:link w:val="1"/>
    <w:qFormat/>
    <w:uiPriority w:val="99"/>
  </w:style>
  <w:style w:type="paragraph" w:customStyle="1" w:styleId="258">
    <w:name w:val="BodyText1I21"/>
    <w:basedOn w:val="259"/>
    <w:qFormat/>
    <w:uiPriority w:val="0"/>
    <w:pPr>
      <w:ind w:firstLine="200"/>
    </w:pPr>
  </w:style>
  <w:style w:type="paragraph" w:customStyle="1" w:styleId="259">
    <w:name w:val="BodyTextIndent1"/>
    <w:basedOn w:val="1"/>
    <w:qFormat/>
    <w:uiPriority w:val="0"/>
    <w:pPr>
      <w:spacing w:after="120"/>
      <w:ind w:left="420"/>
    </w:pPr>
  </w:style>
  <w:style w:type="character" w:customStyle="1" w:styleId="260">
    <w:name w:val="NormalCharacter1"/>
    <w:link w:val="1"/>
    <w:semiHidden/>
    <w:qFormat/>
    <w:uiPriority w:val="0"/>
    <w:rPr>
      <w:sz w:val="21"/>
      <w:szCs w:val="24"/>
      <w:lang w:val="en-US" w:eastAsia="zh-CN" w:bidi="ar-SA"/>
    </w:rPr>
  </w:style>
  <w:style w:type="paragraph" w:customStyle="1" w:styleId="261">
    <w:name w:val="Table Paragraph"/>
    <w:basedOn w:val="1"/>
    <w:qFormat/>
    <w:uiPriority w:val="1"/>
    <w:rPr>
      <w:rFonts w:ascii="Times New Roman" w:hAnsi="Times New Roman" w:eastAsia="宋体" w:cs="Times New Roman"/>
      <w:szCs w:val="24"/>
    </w:rPr>
  </w:style>
  <w:style w:type="paragraph" w:customStyle="1" w:styleId="262">
    <w:name w:val="正文_1"/>
    <w:qFormat/>
    <w:uiPriority w:val="0"/>
    <w:pPr>
      <w:widowControl w:val="0"/>
      <w:jc w:val="both"/>
    </w:pPr>
    <w:rPr>
      <w:rFonts w:hint="default" w:ascii="Times New Roman" w:hAnsi="Times New Roman" w:eastAsia="宋体" w:cs="Times New Roman"/>
      <w:sz w:val="21"/>
      <w:szCs w:val="24"/>
      <w:lang w:val="en-US" w:eastAsia="zh-CN" w:bidi="ar-SA"/>
    </w:rPr>
  </w:style>
  <w:style w:type="paragraph" w:customStyle="1" w:styleId="263">
    <w:name w:val="正文1_0"/>
    <w:qFormat/>
    <w:uiPriority w:val="0"/>
    <w:pPr>
      <w:widowControl w:val="0"/>
      <w:jc w:val="both"/>
    </w:pPr>
    <w:rPr>
      <w:rFonts w:hint="default" w:ascii="Times New Roman" w:hAnsi="Times New Roman" w:eastAsia="宋体" w:cs="Times New Roman"/>
      <w:lang w:val="en-US" w:eastAsia="zh-CN" w:bidi="ar-SA"/>
    </w:rPr>
  </w:style>
  <w:style w:type="paragraph" w:customStyle="1" w:styleId="264">
    <w:name w:val="正文文本缩进 21"/>
    <w:basedOn w:val="265"/>
    <w:qFormat/>
    <w:uiPriority w:val="0"/>
    <w:pPr>
      <w:spacing w:after="120" w:line="480" w:lineRule="auto"/>
      <w:ind w:left="420"/>
    </w:pPr>
  </w:style>
  <w:style w:type="paragraph" w:customStyle="1" w:styleId="265">
    <w:name w:val="正文2"/>
    <w:qFormat/>
    <w:uiPriority w:val="0"/>
    <w:pPr>
      <w:widowControl w:val="0"/>
      <w:jc w:val="both"/>
    </w:pPr>
    <w:rPr>
      <w:rFonts w:hint="default" w:ascii="Calibri" w:hAnsi="Calibri" w:eastAsia="宋体" w:cs="Times New Roman"/>
      <w:lang w:val="en-US" w:eastAsia="zh-CN" w:bidi="ar-SA"/>
    </w:rPr>
  </w:style>
  <w:style w:type="paragraph" w:customStyle="1" w:styleId="266">
    <w:name w:val="寄信人地址1"/>
    <w:basedOn w:val="1"/>
    <w:unhideWhenUsed/>
    <w:qFormat/>
    <w:uiPriority w:val="99"/>
    <w:rPr>
      <w:rFonts w:ascii="Arial" w:hAnsi="Arial"/>
      <w:szCs w:val="20"/>
    </w:rPr>
  </w:style>
  <w:style w:type="paragraph" w:customStyle="1" w:styleId="267">
    <w:name w:val="列出段落1"/>
    <w:basedOn w:val="1"/>
    <w:qFormat/>
    <w:uiPriority w:val="34"/>
    <w:pPr>
      <w:spacing w:line="360" w:lineRule="auto"/>
      <w:ind w:firstLine="420"/>
    </w:pPr>
    <w:rPr>
      <w:rFonts w:ascii="Calibri" w:hAnsi="Calibri"/>
      <w:sz w:val="24"/>
      <w:szCs w:val="22"/>
    </w:rPr>
  </w:style>
  <w:style w:type="paragraph" w:customStyle="1" w:styleId="268">
    <w:name w:val="样式5"/>
    <w:basedOn w:val="1"/>
    <w:qFormat/>
    <w:uiPriority w:val="0"/>
    <w:rPr>
      <w:rFonts w:ascii="宋体" w:cs="宋体"/>
      <w:sz w:val="24"/>
    </w:rPr>
  </w:style>
  <w:style w:type="paragraph" w:customStyle="1" w:styleId="269">
    <w:name w:val="索引 41"/>
    <w:basedOn w:val="1"/>
    <w:next w:val="1"/>
    <w:qFormat/>
    <w:uiPriority w:val="0"/>
    <w:pPr>
      <w:ind w:left="1260"/>
    </w:pPr>
    <w:rPr>
      <w:szCs w:val="20"/>
    </w:rPr>
  </w:style>
  <w:style w:type="character" w:customStyle="1" w:styleId="270">
    <w:name w:val="列出段落 Char"/>
    <w:link w:val="271"/>
    <w:qFormat/>
    <w:uiPriority w:val="99"/>
  </w:style>
  <w:style w:type="paragraph" w:customStyle="1" w:styleId="271">
    <w:name w:val="列出段落"/>
    <w:basedOn w:val="1"/>
    <w:link w:val="270"/>
    <w:qFormat/>
    <w:uiPriority w:val="99"/>
    <w:pPr>
      <w:ind w:firstLine="420"/>
    </w:pPr>
    <w:rPr>
      <w:sz w:val="20"/>
      <w:szCs w:val="20"/>
    </w:rPr>
  </w:style>
  <w:style w:type="paragraph" w:customStyle="1" w:styleId="272">
    <w:name w:val="Table Text"/>
    <w:basedOn w:val="1"/>
    <w:semiHidden/>
    <w:qFormat/>
    <w:uiPriority w:val="0"/>
    <w:rPr>
      <w:rFonts w:ascii="宋体" w:hAnsi="宋体" w:eastAsia="宋体" w:cs="宋体"/>
      <w:sz w:val="31"/>
      <w:szCs w:val="3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name="">
      <a:fillStyleLst>
        <a:solidFill>
          <a:schemeClr val="phClr"/>
        </a:solidFill>
        <a:solidFill>
          <a:srgbClr val="FFFFFF"/>
        </a:solidFill>
        <a:solidFill>
          <a:srgbClr val="FFFFFF"/>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rgbClr val="000000"/>
        </a:solidFill>
        <a:solidFill>
          <a:srgbClr val="000000"/>
        </a:soli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41</Pages>
  <Words>13297</Words>
  <Characters>13818</Characters>
  <TotalTime>22</TotalTime>
  <ScaleCrop>false</ScaleCrop>
  <LinksUpToDate>false</LinksUpToDate>
  <CharactersWithSpaces>14029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2021-11-26T05:03:00Z</dcterms:created>
  <dc:creator>User</dc:creator>
  <cp:lastModifiedBy>晨西</cp:lastModifiedBy>
  <dcterms:modified xsi:type="dcterms:W3CDTF">2026-03-16T05:51:12Z</dcterms:modified>
  <dc:title>南通市环境监测中心站火焰原子吸收光谱仪项目</dc:title>
  <cp:revision>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3B2B8A7B85304B76AF5DD637E8FD17D8_13</vt:lpwstr>
  </property>
  <property fmtid="{D5CDD505-2E9C-101B-9397-08002B2CF9AE}" pid="4" name="KSOTemplateDocerSaveRecord">
    <vt:lpwstr>eyJoZGlkIjoiNThmYTM4ZDQ0OTIyOTc4ZDI1MjJiMzJjMTU1ODUxMTgiLCJ1c2VySWQiOiI1MTkyNzEzMTgifQ==</vt:lpwstr>
  </property>
</Properties>
</file>