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EBF7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/>
        <w:ind w:left="0" w:right="0" w:firstLine="0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666666"/>
          <w:spacing w:val="0"/>
          <w:sz w:val="36"/>
          <w:szCs w:val="36"/>
        </w:rPr>
      </w:pPr>
      <w:bookmarkStart w:id="0" w:name="OLE_LINK2"/>
      <w:r>
        <w:rPr>
          <w:rFonts w:hint="default" w:ascii="Times New Roman" w:hAnsi="Times New Roman" w:eastAsia="方正小标宋简体" w:cs="Times New Roman"/>
          <w:kern w:val="2"/>
          <w:sz w:val="36"/>
          <w:szCs w:val="36"/>
          <w:lang w:val="en-US" w:eastAsia="zh-CN" w:bidi="ar-SA"/>
        </w:rPr>
        <w:t>2025年</w:t>
      </w:r>
      <w:r>
        <w:rPr>
          <w:rFonts w:hint="eastAsia" w:ascii="Times New Roman" w:hAnsi="Times New Roman" w:eastAsia="方正小标宋简体" w:cs="Times New Roman"/>
          <w:kern w:val="2"/>
          <w:sz w:val="36"/>
          <w:szCs w:val="36"/>
          <w:lang w:val="en-US" w:eastAsia="zh-CN" w:bidi="ar-SA"/>
        </w:rPr>
        <w:t>惠萍镇</w:t>
      </w:r>
      <w:r>
        <w:rPr>
          <w:rFonts w:hint="default" w:ascii="Times New Roman" w:hAnsi="Times New Roman" w:eastAsia="方正小标宋简体" w:cs="Times New Roman"/>
          <w:kern w:val="2"/>
          <w:sz w:val="36"/>
          <w:szCs w:val="36"/>
          <w:lang w:val="en-US" w:eastAsia="zh-CN" w:bidi="ar-SA"/>
        </w:rPr>
        <w:t>部门（单位）涉企行政检查年度计划表</w:t>
      </w:r>
    </w:p>
    <w:bookmarkEnd w:id="0"/>
    <w:tbl>
      <w:tblPr>
        <w:tblStyle w:val="6"/>
        <w:tblW w:w="153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9"/>
        <w:gridCol w:w="1449"/>
        <w:gridCol w:w="1275"/>
        <w:gridCol w:w="2104"/>
        <w:gridCol w:w="1246"/>
        <w:gridCol w:w="2875"/>
        <w:gridCol w:w="2187"/>
        <w:gridCol w:w="1813"/>
        <w:gridCol w:w="1910"/>
      </w:tblGrid>
      <w:tr w14:paraId="168AE8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8DF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2C82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处室</w:t>
            </w:r>
          </w:p>
          <w:p w14:paraId="31F858E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（队、所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内设局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等）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A3FD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/>
              </w:rPr>
            </w:pPr>
            <w:bookmarkStart w:id="1" w:name="OLE_LINK1"/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检查对象</w:t>
            </w:r>
            <w:bookmarkEnd w:id="1"/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检查对象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2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4133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检查对象确定方式（例：已确定/每月（每季度）按XX比例抽取xx家/其他）</w:t>
            </w:r>
          </w:p>
        </w:tc>
        <w:tc>
          <w:tcPr>
            <w:tcW w:w="12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A64F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计划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检查时间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精确到月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274B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检查内容</w:t>
            </w:r>
          </w:p>
        </w:tc>
        <w:tc>
          <w:tcPr>
            <w:tcW w:w="21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F21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检查方式</w:t>
            </w:r>
          </w:p>
        </w:tc>
        <w:tc>
          <w:tcPr>
            <w:tcW w:w="1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726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频次</w:t>
            </w:r>
          </w:p>
        </w:tc>
        <w:tc>
          <w:tcPr>
            <w:tcW w:w="1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34CC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联合处室或部门</w:t>
            </w:r>
          </w:p>
        </w:tc>
      </w:tr>
      <w:tr w14:paraId="6D7685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BEC9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44CA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EAEC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南通德尔特混合设备有限公司 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BFB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8A1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2025.03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DE9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520F515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6CB52A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609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66BE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446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29EA77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09A6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0D67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DD9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南通海之捷生物技术有限公司 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EFB5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1FF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D54F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707465C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3ABB471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D757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F995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69C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1E5A4F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9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226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846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562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南通嘉泷水产有限公司 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965D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C2E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</w:t>
            </w:r>
            <w:bookmarkStart w:id="2" w:name="_GoBack"/>
            <w:bookmarkEnd w:id="2"/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9581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0EA0C0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625110D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3、通用事项4条；</w:t>
            </w:r>
          </w:p>
          <w:p w14:paraId="160B320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4、企业外用工等管理重点执法事项3条；</w:t>
            </w:r>
          </w:p>
          <w:p w14:paraId="2751109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5、使用液氨制冷企业重点检查事项2条。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5A88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6487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05D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1B4392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90C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7D90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058C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南通龙马石业有限公司 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BFAA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D59B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2025.04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D684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4070556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5B80ACE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78C3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4B62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56B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5F115B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825F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6CF3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B32E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 南通威腾丝杠制造有限公司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A56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348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2025.05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 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BA33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7844C0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0488263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CC84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3F5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955A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431B77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04A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31F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0EEC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南通阳升无纺织物有限公司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903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BF21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2025.06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7F47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6B27E4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0DF1BD9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3809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892E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D77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730C3F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EF63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54B7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2A5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启东白兔新材料科技有限公司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22D2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660C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2025.06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FF1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532C5D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480530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3、通用事项4条；</w:t>
            </w:r>
          </w:p>
          <w:p w14:paraId="6533011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4、使用非水性漆的调漆间、喷漆室是否设置固定式可燃气体浓度监测报警装置或者通风设施的。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73D3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840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EF84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039964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5E3F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28AB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C09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启东德乐润滑设备有限公司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3BC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09DC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2025.07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05C4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58363D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5CAC183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3、通用事项4条；</w:t>
            </w:r>
          </w:p>
          <w:p w14:paraId="1EA90E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4、使用非水性漆的调漆间、喷漆室是否设置固定式可燃气体浓度监测报警装置或者通风设施的。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E084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31A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FC4A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4A3A30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A713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B80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788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启东龙力液压泵有限公司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751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2D9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2025.08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351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2BA0410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136D8DA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582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38B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515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702633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610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E7B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767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启东市虹盛润滑系统有限公司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C47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240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2025.09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BEA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3BC909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592B96A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038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78DB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057F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7D357E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BCA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CFF3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2E56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启东市凯润液压润滑设备有限公司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FC1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B8D9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2025.10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255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33EDA79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28BA28D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3、通用事项4条；</w:t>
            </w:r>
          </w:p>
          <w:p w14:paraId="0874EA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4、使用非水性漆的调漆间、喷漆室是否设置固定式可燃气体浓度监测报警装置或者通风设施的。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46A5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003B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671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  <w:tr w14:paraId="4E7E1B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714B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E7E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惠萍镇综合行政执法和安全生产监督管理办公室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8A86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启东市韬轶机械加工厂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52B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3563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2025.11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8E67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1、企业落实主体责任重点执法事项8条；</w:t>
            </w:r>
          </w:p>
          <w:p w14:paraId="7E3AA25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2、工业企业风险报告重点执法事项5条；</w:t>
            </w:r>
          </w:p>
          <w:p w14:paraId="74A13C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lang w:val="en-US" w:eastAsia="zh-CN"/>
              </w:rPr>
              <w:t>3、通用事项4条。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0C9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现场检查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EFAC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4444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 </w:t>
            </w:r>
          </w:p>
        </w:tc>
      </w:tr>
    </w:tbl>
    <w:p w14:paraId="1B20FC1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3267B"/>
    <w:rsid w:val="238C7F9A"/>
    <w:rsid w:val="24236F9D"/>
    <w:rsid w:val="277125BE"/>
    <w:rsid w:val="32DB1233"/>
    <w:rsid w:val="3AFE01B5"/>
    <w:rsid w:val="570404A9"/>
    <w:rsid w:val="59A321FB"/>
    <w:rsid w:val="5C5B0B6B"/>
    <w:rsid w:val="67E61C31"/>
    <w:rsid w:val="6D9B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5"/>
      <w:szCs w:val="35"/>
      <w:lang w:eastAsia="en-US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1221</Words>
  <Characters>1329</Characters>
  <Lines>0</Lines>
  <Paragraphs>0</Paragraphs>
  <TotalTime>6</TotalTime>
  <ScaleCrop>false</ScaleCrop>
  <LinksUpToDate>false</LinksUpToDate>
  <CharactersWithSpaces>1350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时光里的流沙</cp:lastModifiedBy>
  <dcterms:modified xsi:type="dcterms:W3CDTF">2025-07-02T02:02:57Z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eyJoZGlkIjoiZDg4NjBhYzJmMTk1ZGM1OTY2NjJmY2Q5NDM4MjFlZDUiLCJ1c2VySWQiOiIxMTEyNjA5MiJ9</vt:lpwstr>
  </property>
  <property fmtid="{D5CDD505-2E9C-101B-9397-08002B2CF9AE}" pid="4" name="ICV">
    <vt:lpwstr>174BFA88B95844498AE3AE25E0C4F224_13</vt:lpwstr>
  </property>
</Properties>
</file>